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7EA66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述标要求</w:t>
      </w:r>
    </w:p>
    <w:p w14:paraId="6ED304EC"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述标核心需围绕“实力匹配、方案适配、落地可控、服务靠谱”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大核心维度展开，确保内容聚焦高校需求、重点突出、可落地可验证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0357C78">
      <w:pPr>
        <w:ind w:left="0" w:leftChars="0" w:firstLine="641" w:firstLineChars="228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一、企业综合实力：证明“有能力干好”</w:t>
      </w:r>
    </w:p>
    <w:p w14:paraId="6149D575"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核心是让甲方确认投标方具备承接高校智能化项目的资质、经验和稳定团队，避免“资质不够、经验不足”导致项目风险。</w:t>
      </w:r>
    </w:p>
    <w:p w14:paraId="7E839481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核心资质与信用：明确提供智能化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资质、安全生产许可证、相关体系认证（ISO9001等），以及无失信、无行贿等信用证明；针对各子系统的专项资质（如安防一级、系统集成资质）需单独说明。</w:t>
      </w:r>
    </w:p>
    <w:p w14:paraId="50D3C3BA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高校同类项目经验：重点阐述近5年3个以上“高校智能化项目”案例（合同金额不低于本次项目80%），说明案例中与本次一致的子系统（如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）的实施规模、解决的核心问题、业主评价（需提供合同关键页、验收报告佐证）。</w:t>
      </w:r>
    </w:p>
    <w:p w14:paraId="296F0744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核心团队稳定性：介绍项目总负责人、技术负责人的职称、高校项目履历（需提供社保、劳动合同、业主任职证明），明确团队成员无中途更换计划，确保项目全程专业对接。</w:t>
      </w:r>
    </w:p>
    <w:p w14:paraId="6D5E5653">
      <w:pPr>
        <w:numPr>
          <w:numId w:val="0"/>
        </w:numPr>
        <w:ind w:left="420" w:leftChars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二、技术方案核心：证明“方案能满足需求”</w:t>
      </w:r>
    </w:p>
    <w:p w14:paraId="53C002BB">
      <w:pPr>
        <w:numPr>
          <w:numId w:val="0"/>
        </w:num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这是述标重点，需结合高校教学、科研、管理场景，说明方案“懂校园、能落地、够智能”。</w:t>
      </w:r>
    </w:p>
    <w:p w14:paraId="149A7F51"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项目理解与整体架构：先阐述对高校痛点的认知（如现有系统兼容差、运维复杂、能耗浪费），再呈现整体系统架构（物理/逻辑/网络拓扑图），说明各子系统衔接逻辑、数据流转路径，以及方案如何适配学校未来5-10年发展。</w:t>
      </w:r>
    </w:p>
    <w:p w14:paraId="367AFDBC"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各子系统关键设计（聚焦实用）。</w:t>
      </w:r>
    </w:p>
    <w:p w14:paraId="7A01155B"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核心需求响应：针对综合布线（点位覆盖、传输速率）、网络系统（稳定性、安全防护、带宽保障）、机房（供电续航、环境监控）、视频监控（无死角覆盖、智能报警、90天存储）等子系统，说明“选型依据+核心参数+施工标准”，确保符合高校场景（如教学楼静音施工、实验室网络隔离）。</w:t>
      </w:r>
    </w:p>
    <w:p w14:paraId="5D4D4592"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智能化亮点：突出AI分析、物联网感知、数据联动等实用功能（如能耗系统自动预警、会议系统远程接入、监控与人脸识别联动），避免“为智能而智能”。</w:t>
      </w:r>
    </w:p>
    <w:p w14:paraId="375B8AFE"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合规性：明确方案符合国家/行业标准（如GB50314、GB50348），尤其是校园数据安全、隐私保护、安防合规的具体措施。</w:t>
      </w:r>
    </w:p>
    <w:p w14:paraId="00A32BC6"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兼容性与扩展性：说明与学校现有系统（教务、一卡通、安防）的对接方案（接口标准、数据同步方式），以及未来新增功能（如新增教学楼布线、扩展能耗监测类型）的实现路径。</w:t>
      </w:r>
    </w:p>
    <w:p w14:paraId="54EAADCC">
      <w:pPr>
        <w:numPr>
          <w:numId w:val="0"/>
        </w:numPr>
        <w:ind w:left="420" w:leftChars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三、项目实施与管控：证明“能按时按质落地”</w:t>
      </w:r>
    </w:p>
    <w:p w14:paraId="601D1464">
      <w:pPr>
        <w:numPr>
          <w:numId w:val="0"/>
        </w:num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聚焦高校校园施工的特殊性，说明“不影响教学、进度可控、质量有保障”。</w:t>
      </w:r>
    </w:p>
    <w:p w14:paraId="600B0995">
      <w:pPr>
        <w:numPr>
          <w:ilvl w:val="0"/>
          <w:numId w:val="3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施工部署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（适配校园场景）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：明确施工流程、各阶段时间节点，重点说明“降噪防尘措施（如避开上课时间施工）、施工区域隔离、交通安全保障”，最小化影响师生教学生活。</w:t>
      </w:r>
    </w:p>
    <w:p w14:paraId="3A5F94BC">
      <w:pPr>
        <w:numPr>
          <w:ilvl w:val="0"/>
          <w:numId w:val="3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关键工序控制：针对布线、机房安装、系统联调等关键环节，说明质量控制点（如布线测试标准、设备安装验收要求）。</w:t>
      </w:r>
    </w:p>
    <w:p w14:paraId="28D7E57F">
      <w:pPr>
        <w:numPr>
          <w:ilvl w:val="0"/>
          <w:numId w:val="3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进度与风险管控：提供详细甘特图，明确开工、竣工及关键节点时间；说明设备供货保障（原厂授权、备货计划）、突发情况应对（如设备延迟到货、恶劣天气）的应急预案。</w:t>
      </w:r>
    </w:p>
    <w:p w14:paraId="713284E4">
      <w:pPr>
        <w:numPr>
          <w:ilvl w:val="0"/>
          <w:numId w:val="3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质量与安全：明确质量目标（一次性验收合格率100%）、安全管理措施（施工人员培训、高空作业防护、消防安全），以及针对校园场景的特殊安全保障（如避免破坏校园设施、施工区域禁止学生进入）。</w:t>
      </w:r>
    </w:p>
    <w:p w14:paraId="2141B18B">
      <w:pPr>
        <w:numPr>
          <w:numId w:val="0"/>
        </w:numPr>
        <w:ind w:left="420" w:leftChars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四、服务保障体系：证明“后续有人管”</w:t>
      </w:r>
    </w:p>
    <w:p w14:paraId="7B479398">
      <w:pPr>
        <w:numPr>
          <w:numId w:val="0"/>
        </w:num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高校关注项目长期稳定运行，需明确“售后响应快、培训到位、应急有保障”。</w:t>
      </w:r>
    </w:p>
    <w:p w14:paraId="3CFEE139">
      <w:pPr>
        <w:numPr>
          <w:ilvl w:val="0"/>
          <w:numId w:val="4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质保期：明确整体质保不低于2年、核心设备不低于3年，说明质保期内免费维修、定期巡检等服务内容。</w:t>
      </w:r>
    </w:p>
    <w:p w14:paraId="0B0EF8D1">
      <w:pPr>
        <w:numPr>
          <w:ilvl w:val="0"/>
          <w:numId w:val="4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响应机制：7×24小时热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线，城区1小时响应、2小时上门，重大故障24小时内修复（无修复时提供备用设备），需说明本地化维保团队配置（人员数量、资质、联系方式）。</w:t>
      </w:r>
    </w:p>
    <w:p w14:paraId="2D3968F9">
      <w:pPr>
        <w:numPr>
          <w:ilvl w:val="0"/>
          <w:numId w:val="4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培训与运维支持：针对学校管理员、运维人员、使用人员制定分层培训（操作、维护、故障排查），提供纸质+电子版手册，确保培训后能独立操作。</w:t>
      </w:r>
    </w:p>
    <w:p w14:paraId="65F36425">
      <w:pPr>
        <w:numPr>
          <w:ilvl w:val="0"/>
          <w:numId w:val="4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突发故障应对：提供网络中断、监控失效等故障的应急处理流程，说明备用设备储备情况。</w:t>
      </w:r>
    </w:p>
    <w:p w14:paraId="5FFE10BB">
      <w:pPr>
        <w:numPr>
          <w:ilvl w:val="0"/>
          <w:numId w:val="4"/>
        </w:numPr>
        <w:ind w:left="0" w:leftChars="0"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专项保障：针对开学季、毕业典礼、学术会议等重大活动，说明提前排查、专人值守的方案。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DB4BB2-5006-4480-85CE-DCFD5DDEB6C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9E5F6E0-0EF6-49C9-9DF2-B39BEBA5206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A12F6"/>
    <w:multiLevelType w:val="singleLevel"/>
    <w:tmpl w:val="B82A12F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090DBA1"/>
    <w:multiLevelType w:val="singleLevel"/>
    <w:tmpl w:val="E090DBA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324DDAA1"/>
    <w:multiLevelType w:val="singleLevel"/>
    <w:tmpl w:val="324DDAA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45CAD224"/>
    <w:multiLevelType w:val="singleLevel"/>
    <w:tmpl w:val="45CAD22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C3061"/>
    <w:rsid w:val="21407D9B"/>
    <w:rsid w:val="25A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2025-11-25T02:35:00Z</dcterms:created>
  <dc:creator>新式佛法</dc:creator>
  <cp:lastModifiedBy>新式佛法</cp:lastModifiedBy>
  <dcterms:modified xsi:type="dcterms:W3CDTF">2025-11-25T02:47:22Z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7742A1C0B10045B69CA470FE975C63B2_11</vt:lpwstr>
  </property>
  <property fmtid="{D5CDD505-2E9C-101B-9397-08002B2CF9AE}" pid="4" name="KSOTemplateDocerSaveRecord">
    <vt:lpwstr>eyJoZGlkIjoiMzEwNTM5NzYwMDRjMzkwZTVkZjY2ODkwMGIxNGU0OTUiLCJ1c2VySWQiOiIxMTI1MzUyNDgxIn0=</vt:lpwstr>
  </property>
</Properties>
</file>