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rPr>
          <w:rFonts w:ascii="宋体" w:hAnsi="宋体" w:cs="宋体"/>
          <w:color w:val="auto"/>
          <w:sz w:val="30"/>
          <w:szCs w:val="30"/>
          <w:highlight w:val="none"/>
          <w:lang w:val="zh-CN"/>
        </w:rPr>
      </w:pPr>
      <w:r>
        <w:rPr>
          <w:rFonts w:hint="eastAsia" w:ascii="宋体" w:hAnsi="宋体" w:cs="宋体"/>
          <w:color w:val="auto"/>
          <w:sz w:val="30"/>
          <w:szCs w:val="30"/>
          <w:highlight w:val="none"/>
          <w:lang w:val="zh-CN"/>
        </w:rPr>
        <w:t>项目技术规范和要求</w:t>
      </w:r>
    </w:p>
    <w:p>
      <w:pPr>
        <w:tabs>
          <w:tab w:val="left" w:pos="5775"/>
        </w:tabs>
        <w:spacing w:line="40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一、项目基本情况</w:t>
      </w:r>
    </w:p>
    <w:p>
      <w:pPr>
        <w:tabs>
          <w:tab w:val="left" w:pos="5775"/>
        </w:tabs>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（一）项目名称：杭州医学院生物安全三级实验室建设项目</w:t>
      </w:r>
    </w:p>
    <w:p>
      <w:pPr>
        <w:tabs>
          <w:tab w:val="left" w:pos="5775"/>
        </w:tabs>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（二）项目地点：杭州城西科创大走廊青山湖科技城创业街218号，杭州医学院青山湖科创中心三号楼内</w:t>
      </w:r>
    </w:p>
    <w:p>
      <w:pPr>
        <w:tabs>
          <w:tab w:val="left" w:pos="5775"/>
        </w:tabs>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（三）建设单位：杭州医学院</w:t>
      </w:r>
    </w:p>
    <w:p>
      <w:pPr>
        <w:tabs>
          <w:tab w:val="left" w:pos="5775"/>
        </w:tabs>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（四）建设内容及规模：已建成的三号楼占地面积为1856.94平方米，共四层，建筑面积约7763.71平方米，建设内容包括三号楼周边配套工程，包括市政、绿化、围墙、配电、给排水、燃气等</w:t>
      </w:r>
    </w:p>
    <w:p>
      <w:pPr>
        <w:tabs>
          <w:tab w:val="left" w:pos="5775"/>
        </w:tabs>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（五）工程总投资：总投资额暂定38159.99万元，其中建安工程投资暂定17833.87万元，招标方独立委托采购的设备暂定13200万元，资金来源为财政拨款</w:t>
      </w:r>
    </w:p>
    <w:p>
      <w:pPr>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二、具体需求及服务要求</w:t>
      </w:r>
    </w:p>
    <w:p>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投标人在合同签订时，同时向采购人提交整体审计方案，方案需明确各阶段详细审计方案，包括审计计划、重点审计内容、审计人员组成以及提供准备审计资料、清单等。甲乙双方确认后作为合同附件。</w:t>
      </w:r>
    </w:p>
    <w:p>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2.1项目前期造价估算</w:t>
      </w:r>
    </w:p>
    <w:p>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投标人需无条件配合招标人对项目分项工程投入的估算进行审核。</w:t>
      </w:r>
    </w:p>
    <w:p>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2.2初步设计概算审核</w:t>
      </w:r>
    </w:p>
    <w:p>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在初步设计单位提交概算后,投标人需无条件配合招标人对项目分项工程的概算审核，并</w:t>
      </w:r>
      <w:r>
        <w:rPr>
          <w:rFonts w:hint="eastAsia" w:ascii="宋体" w:hAnsi="宋体"/>
          <w:color w:val="auto"/>
          <w:szCs w:val="21"/>
          <w:highlight w:val="none"/>
        </w:rPr>
        <w:t>与招标代理采用“背靠背”方式完成概算的核对</w:t>
      </w:r>
      <w:r>
        <w:rPr>
          <w:rFonts w:hint="eastAsia" w:ascii="宋体" w:hAnsi="宋体" w:cs="宋体"/>
          <w:color w:val="auto"/>
          <w:kern w:val="0"/>
          <w:szCs w:val="21"/>
          <w:highlight w:val="none"/>
        </w:rPr>
        <w:t>，出具审核报告。</w:t>
      </w:r>
    </w:p>
    <w:p>
      <w:pPr>
        <w:spacing w:line="440" w:lineRule="exact"/>
        <w:ind w:firstLine="480"/>
        <w:rPr>
          <w:color w:val="auto"/>
          <w:szCs w:val="21"/>
          <w:highlight w:val="none"/>
        </w:rPr>
      </w:pPr>
      <w:r>
        <w:rPr>
          <w:rFonts w:hint="eastAsia"/>
          <w:color w:val="auto"/>
          <w:szCs w:val="21"/>
          <w:highlight w:val="none"/>
        </w:rPr>
        <w:t>2.3</w:t>
      </w:r>
      <w:r>
        <w:rPr>
          <w:rFonts w:hint="eastAsia" w:ascii="宋体" w:hAnsi="宋体" w:cs="宋体"/>
          <w:color w:val="auto"/>
          <w:kern w:val="0"/>
          <w:szCs w:val="21"/>
          <w:highlight w:val="none"/>
        </w:rPr>
        <w:t>施工阶段全过程造价控制</w:t>
      </w:r>
    </w:p>
    <w:p>
      <w:pPr>
        <w:spacing w:line="440" w:lineRule="exact"/>
        <w:ind w:firstLine="420" w:firstLineChars="200"/>
        <w:rPr>
          <w:color w:val="auto"/>
          <w:szCs w:val="21"/>
          <w:highlight w:val="none"/>
        </w:rPr>
      </w:pPr>
      <w:r>
        <w:rPr>
          <w:rFonts w:hint="eastAsia"/>
          <w:color w:val="auto"/>
          <w:szCs w:val="21"/>
          <w:highlight w:val="none"/>
        </w:rPr>
        <w:t>（1）编制工程量清单及招标控制价，</w:t>
      </w:r>
      <w:r>
        <w:rPr>
          <w:rFonts w:hint="eastAsia" w:ascii="宋体" w:hAnsi="宋体"/>
          <w:color w:val="auto"/>
          <w:szCs w:val="21"/>
          <w:highlight w:val="none"/>
        </w:rPr>
        <w:t>与招标代理采用“背靠背”方式完成招标清单及控制价的编制及核对工作(总承包项目须对总包单位提交的工程量清单及预算进行审核)；</w:t>
      </w:r>
    </w:p>
    <w:p>
      <w:pPr>
        <w:spacing w:line="440" w:lineRule="exact"/>
        <w:ind w:firstLine="480"/>
        <w:rPr>
          <w:color w:val="auto"/>
          <w:szCs w:val="21"/>
          <w:highlight w:val="none"/>
        </w:rPr>
      </w:pPr>
      <w:r>
        <w:rPr>
          <w:rFonts w:hint="eastAsia"/>
          <w:color w:val="auto"/>
          <w:szCs w:val="21"/>
          <w:highlight w:val="none"/>
        </w:rPr>
        <w:t>（2）制定造价控制的实施流程，对承包人报送的工程预算进行审核，确定造价控制目标；</w:t>
      </w:r>
    </w:p>
    <w:p>
      <w:pPr>
        <w:spacing w:line="440" w:lineRule="exact"/>
        <w:ind w:firstLine="480"/>
        <w:rPr>
          <w:color w:val="auto"/>
          <w:szCs w:val="21"/>
          <w:highlight w:val="none"/>
        </w:rPr>
      </w:pPr>
      <w:r>
        <w:rPr>
          <w:rFonts w:hint="eastAsia"/>
          <w:color w:val="auto"/>
          <w:szCs w:val="21"/>
          <w:highlight w:val="none"/>
        </w:rPr>
        <w:t>（3）根据施工承包合同、进度计划，编制用款计划书；</w:t>
      </w:r>
    </w:p>
    <w:p>
      <w:pPr>
        <w:spacing w:line="440" w:lineRule="exact"/>
        <w:ind w:firstLine="480"/>
        <w:rPr>
          <w:color w:val="auto"/>
          <w:szCs w:val="21"/>
          <w:highlight w:val="none"/>
        </w:rPr>
      </w:pPr>
      <w:r>
        <w:rPr>
          <w:rFonts w:hint="eastAsia"/>
          <w:color w:val="auto"/>
          <w:szCs w:val="21"/>
          <w:highlight w:val="none"/>
        </w:rPr>
        <w:t>（4）参与造价控制有关的工程会议；</w:t>
      </w:r>
    </w:p>
    <w:p>
      <w:pPr>
        <w:spacing w:line="440" w:lineRule="exact"/>
        <w:ind w:firstLine="480"/>
        <w:rPr>
          <w:color w:val="auto"/>
          <w:szCs w:val="21"/>
          <w:highlight w:val="none"/>
        </w:rPr>
      </w:pPr>
      <w:r>
        <w:rPr>
          <w:rFonts w:hint="eastAsia"/>
          <w:color w:val="auto"/>
          <w:szCs w:val="21"/>
          <w:highlight w:val="none"/>
        </w:rPr>
        <w:t>（5）负责对承包人报送的每月(期)完成进度款月报表进行审核，并提出当月(期)付款建议书；</w:t>
      </w:r>
    </w:p>
    <w:p>
      <w:pPr>
        <w:spacing w:line="440" w:lineRule="exact"/>
        <w:ind w:firstLine="480"/>
        <w:rPr>
          <w:color w:val="auto"/>
          <w:szCs w:val="21"/>
          <w:highlight w:val="none"/>
        </w:rPr>
      </w:pPr>
      <w:r>
        <w:rPr>
          <w:rFonts w:hint="eastAsia"/>
          <w:color w:val="auto"/>
          <w:szCs w:val="21"/>
          <w:highlight w:val="none"/>
        </w:rPr>
        <w:t>（6）承发包方提出索赔时，凭据合同和有关法律、法规，提供咨询意见；</w:t>
      </w:r>
    </w:p>
    <w:p>
      <w:pPr>
        <w:spacing w:line="440" w:lineRule="exact"/>
        <w:ind w:firstLine="480"/>
        <w:rPr>
          <w:color w:val="auto"/>
          <w:szCs w:val="21"/>
          <w:highlight w:val="none"/>
        </w:rPr>
      </w:pPr>
      <w:r>
        <w:rPr>
          <w:rFonts w:hint="eastAsia"/>
          <w:color w:val="auto"/>
          <w:szCs w:val="21"/>
          <w:highlight w:val="none"/>
        </w:rPr>
        <w:t>（7）协助业主及时审核因设计变更、现场签证等发生的费用，相应调整造价控制目标，并向业主提供造价控制动态分析报告；</w:t>
      </w:r>
    </w:p>
    <w:p>
      <w:pPr>
        <w:spacing w:line="440" w:lineRule="exact"/>
        <w:ind w:firstLine="480"/>
        <w:rPr>
          <w:color w:val="auto"/>
          <w:szCs w:val="21"/>
          <w:highlight w:val="none"/>
        </w:rPr>
      </w:pPr>
      <w:r>
        <w:rPr>
          <w:rFonts w:hint="eastAsia"/>
          <w:color w:val="auto"/>
          <w:szCs w:val="21"/>
          <w:highlight w:val="none"/>
        </w:rPr>
        <w:t>（8）对本项目关键性设备、材料进行技术、经济抽查及市场调研等；</w:t>
      </w:r>
    </w:p>
    <w:p>
      <w:pPr>
        <w:spacing w:line="440" w:lineRule="exact"/>
        <w:ind w:firstLine="480"/>
        <w:rPr>
          <w:color w:val="auto"/>
          <w:szCs w:val="21"/>
          <w:highlight w:val="none"/>
        </w:rPr>
      </w:pPr>
      <w:r>
        <w:rPr>
          <w:rFonts w:hint="eastAsia"/>
          <w:color w:val="auto"/>
          <w:szCs w:val="21"/>
          <w:highlight w:val="none"/>
        </w:rPr>
        <w:t>（9）核定分阶段完工的分部工程；</w:t>
      </w:r>
    </w:p>
    <w:p>
      <w:pPr>
        <w:spacing w:line="440" w:lineRule="exact"/>
        <w:ind w:firstLine="480"/>
        <w:rPr>
          <w:color w:val="auto"/>
          <w:szCs w:val="21"/>
          <w:highlight w:val="none"/>
        </w:rPr>
      </w:pPr>
      <w:r>
        <w:rPr>
          <w:rFonts w:hint="eastAsia"/>
          <w:color w:val="auto"/>
          <w:szCs w:val="21"/>
          <w:highlight w:val="none"/>
        </w:rPr>
        <w:t>（10）会同业主办理工程竣工结算，提供完整的结算报告及各项费用汇总表；</w:t>
      </w:r>
    </w:p>
    <w:p>
      <w:pPr>
        <w:spacing w:line="440" w:lineRule="exact"/>
        <w:ind w:firstLine="480"/>
        <w:rPr>
          <w:color w:val="auto"/>
          <w:szCs w:val="21"/>
          <w:highlight w:val="none"/>
        </w:rPr>
      </w:pPr>
      <w:r>
        <w:rPr>
          <w:rFonts w:hint="eastAsia"/>
          <w:color w:val="auto"/>
          <w:szCs w:val="21"/>
          <w:highlight w:val="none"/>
        </w:rPr>
        <w:t>（11）提供与造价控制相关的人工、材料、机械、设备等造价信息；协助业主确定</w:t>
      </w:r>
      <w:r>
        <w:rPr>
          <w:color w:val="auto"/>
          <w:szCs w:val="21"/>
          <w:highlight w:val="none"/>
        </w:rPr>
        <w:t>“</w:t>
      </w:r>
      <w:r>
        <w:rPr>
          <w:rFonts w:hint="eastAsia"/>
          <w:color w:val="auto"/>
          <w:szCs w:val="21"/>
          <w:highlight w:val="none"/>
        </w:rPr>
        <w:t>甲供材料</w:t>
      </w:r>
      <w:r>
        <w:rPr>
          <w:color w:val="auto"/>
          <w:szCs w:val="21"/>
          <w:highlight w:val="none"/>
        </w:rPr>
        <w:t>”</w:t>
      </w:r>
      <w:r>
        <w:rPr>
          <w:rFonts w:hint="eastAsia"/>
          <w:color w:val="auto"/>
          <w:szCs w:val="21"/>
          <w:highlight w:val="none"/>
        </w:rPr>
        <w:t>、</w:t>
      </w:r>
      <w:r>
        <w:rPr>
          <w:color w:val="auto"/>
          <w:szCs w:val="21"/>
          <w:highlight w:val="none"/>
        </w:rPr>
        <w:t>“</w:t>
      </w:r>
      <w:r>
        <w:rPr>
          <w:rFonts w:hint="eastAsia"/>
          <w:color w:val="auto"/>
          <w:szCs w:val="21"/>
          <w:highlight w:val="none"/>
        </w:rPr>
        <w:t>甲定乙供材料</w:t>
      </w:r>
      <w:r>
        <w:rPr>
          <w:color w:val="auto"/>
          <w:szCs w:val="21"/>
          <w:highlight w:val="none"/>
        </w:rPr>
        <w:t>”</w:t>
      </w:r>
      <w:r>
        <w:rPr>
          <w:rFonts w:hint="eastAsia"/>
          <w:color w:val="auto"/>
          <w:szCs w:val="21"/>
          <w:highlight w:val="none"/>
        </w:rPr>
        <w:t>，并通过市场调查询价确定价格范围，明确甲供材料取费的规定；</w:t>
      </w:r>
    </w:p>
    <w:p>
      <w:pPr>
        <w:spacing w:line="440" w:lineRule="exact"/>
        <w:ind w:firstLine="420" w:firstLineChars="200"/>
        <w:rPr>
          <w:color w:val="auto"/>
          <w:szCs w:val="21"/>
          <w:highlight w:val="none"/>
        </w:rPr>
      </w:pPr>
      <w:r>
        <w:rPr>
          <w:rFonts w:hint="eastAsia"/>
          <w:color w:val="auto"/>
          <w:szCs w:val="21"/>
          <w:highlight w:val="none"/>
        </w:rPr>
        <w:t>（12）协助业主审核招标文件，对承包单位的投标文件进行复核，对不合理的报价应及时提出，协助业主签订施工承包合同；</w:t>
      </w:r>
    </w:p>
    <w:p>
      <w:pPr>
        <w:spacing w:line="440" w:lineRule="exact"/>
        <w:ind w:firstLine="420" w:firstLineChars="200"/>
        <w:rPr>
          <w:color w:val="auto"/>
          <w:szCs w:val="21"/>
          <w:highlight w:val="none"/>
        </w:rPr>
      </w:pPr>
      <w:r>
        <w:rPr>
          <w:rFonts w:hint="eastAsia"/>
          <w:color w:val="auto"/>
          <w:szCs w:val="21"/>
          <w:highlight w:val="none"/>
        </w:rPr>
        <w:t>（13）积极配合业主的法定审计（含招标人上级各部门的审计）工作，并及时提交各项所需资料；</w:t>
      </w:r>
    </w:p>
    <w:p>
      <w:pPr>
        <w:spacing w:line="440" w:lineRule="exact"/>
        <w:ind w:firstLine="420" w:firstLineChars="200"/>
        <w:rPr>
          <w:color w:val="auto"/>
          <w:szCs w:val="21"/>
          <w:highlight w:val="none"/>
        </w:rPr>
      </w:pPr>
      <w:r>
        <w:rPr>
          <w:rFonts w:hint="eastAsia"/>
          <w:color w:val="auto"/>
          <w:szCs w:val="21"/>
          <w:highlight w:val="none"/>
        </w:rPr>
        <w:t>（14）</w:t>
      </w:r>
      <w:r>
        <w:rPr>
          <w:rFonts w:hint="eastAsia" w:ascii="宋体" w:hAnsi="宋体" w:cs="宋体"/>
          <w:color w:val="auto"/>
          <w:kern w:val="0"/>
          <w:szCs w:val="21"/>
          <w:highlight w:val="none"/>
        </w:rPr>
        <w:t>项目负责人及各专业咨询人员根据项目情况，随叫随到</w:t>
      </w:r>
      <w:r>
        <w:rPr>
          <w:rFonts w:hint="eastAsia"/>
          <w:color w:val="auto"/>
          <w:szCs w:val="21"/>
          <w:highlight w:val="none"/>
        </w:rPr>
        <w:t>。项目负责人及造价咨询服务人员未经业主同意不得随意更换变动，因客观情况确需更换的，应征得发包人同意，且更换后的人员不得低于原投标承诺人员所具有的资格和业绩条件；</w:t>
      </w:r>
    </w:p>
    <w:p>
      <w:pPr>
        <w:spacing w:line="440" w:lineRule="exact"/>
        <w:ind w:firstLine="417" w:firstLineChars="199"/>
        <w:rPr>
          <w:color w:val="auto"/>
          <w:szCs w:val="21"/>
          <w:highlight w:val="none"/>
        </w:rPr>
      </w:pPr>
      <w:r>
        <w:rPr>
          <w:rFonts w:hint="eastAsia"/>
          <w:color w:val="auto"/>
          <w:szCs w:val="21"/>
          <w:highlight w:val="none"/>
        </w:rPr>
        <w:t>（15）除现场造价咨询人数要求外，公司还须安排造价咨询的专家库成员协助完成施工阶段全过程造价控制和工程结算审核服务内容的所有工作；</w:t>
      </w:r>
    </w:p>
    <w:p>
      <w:pPr>
        <w:spacing w:line="440" w:lineRule="exact"/>
        <w:ind w:firstLine="417" w:firstLineChars="199"/>
        <w:rPr>
          <w:color w:val="auto"/>
          <w:szCs w:val="21"/>
          <w:highlight w:val="none"/>
        </w:rPr>
      </w:pPr>
      <w:r>
        <w:rPr>
          <w:rFonts w:hint="eastAsia"/>
          <w:color w:val="auto"/>
          <w:szCs w:val="21"/>
          <w:highlight w:val="none"/>
        </w:rPr>
        <w:t>（16）建设单位要求的其他与工程建设相关的咨询服务。</w:t>
      </w:r>
    </w:p>
    <w:p>
      <w:pPr>
        <w:spacing w:line="440" w:lineRule="exact"/>
        <w:ind w:firstLine="480"/>
        <w:rPr>
          <w:color w:val="auto"/>
          <w:szCs w:val="21"/>
          <w:highlight w:val="none"/>
        </w:rPr>
      </w:pPr>
      <w:r>
        <w:rPr>
          <w:rFonts w:hint="eastAsia"/>
          <w:color w:val="auto"/>
          <w:szCs w:val="21"/>
          <w:highlight w:val="none"/>
        </w:rPr>
        <w:t>2.3</w:t>
      </w:r>
      <w:r>
        <w:rPr>
          <w:rFonts w:hint="eastAsia" w:ascii="宋体" w:hAnsi="宋体" w:cs="宋体"/>
          <w:color w:val="auto"/>
          <w:kern w:val="0"/>
          <w:szCs w:val="21"/>
          <w:highlight w:val="none"/>
        </w:rPr>
        <w:t>工程结算审核</w:t>
      </w:r>
    </w:p>
    <w:p>
      <w:pPr>
        <w:spacing w:line="440" w:lineRule="exact"/>
        <w:ind w:firstLine="417" w:firstLineChars="199"/>
        <w:rPr>
          <w:color w:val="auto"/>
          <w:szCs w:val="21"/>
          <w:highlight w:val="none"/>
        </w:rPr>
      </w:pPr>
      <w:r>
        <w:rPr>
          <w:rFonts w:hint="eastAsia"/>
          <w:color w:val="auto"/>
          <w:szCs w:val="21"/>
          <w:highlight w:val="none"/>
        </w:rPr>
        <w:t>（1）根据工程合同相应的建设工程法律、法规、标准规范与工程计价依据、招投标文件、施工图纸、现场发生的各项有效证明审核工程造价；</w:t>
      </w:r>
    </w:p>
    <w:p>
      <w:pPr>
        <w:spacing w:line="440" w:lineRule="exact"/>
        <w:ind w:firstLine="417" w:firstLineChars="199"/>
        <w:rPr>
          <w:color w:val="auto"/>
          <w:szCs w:val="21"/>
          <w:highlight w:val="none"/>
        </w:rPr>
      </w:pPr>
      <w:r>
        <w:rPr>
          <w:rFonts w:hint="eastAsia"/>
          <w:color w:val="auto"/>
          <w:szCs w:val="21"/>
          <w:highlight w:val="none"/>
        </w:rPr>
        <w:t>（2）现场踏勘、计量复核；</w:t>
      </w:r>
    </w:p>
    <w:p>
      <w:pPr>
        <w:spacing w:line="440" w:lineRule="exact"/>
        <w:ind w:firstLine="417" w:firstLineChars="199"/>
        <w:rPr>
          <w:color w:val="auto"/>
          <w:szCs w:val="21"/>
          <w:highlight w:val="none"/>
        </w:rPr>
      </w:pPr>
      <w:r>
        <w:rPr>
          <w:rFonts w:hint="eastAsia"/>
          <w:color w:val="auto"/>
          <w:szCs w:val="21"/>
          <w:highlight w:val="none"/>
        </w:rPr>
        <w:t>（3）工程量、工程要素价格及各类项目费用进行审核确定；</w:t>
      </w:r>
    </w:p>
    <w:p>
      <w:pPr>
        <w:spacing w:line="440" w:lineRule="exact"/>
        <w:ind w:firstLine="417" w:firstLineChars="199"/>
        <w:rPr>
          <w:color w:val="auto"/>
          <w:szCs w:val="21"/>
          <w:highlight w:val="none"/>
        </w:rPr>
      </w:pPr>
      <w:r>
        <w:rPr>
          <w:rFonts w:hint="eastAsia"/>
          <w:color w:val="auto"/>
          <w:szCs w:val="21"/>
          <w:highlight w:val="none"/>
        </w:rPr>
        <w:t>（4）编制工程结算审核报告。</w:t>
      </w:r>
    </w:p>
    <w:p>
      <w:pPr>
        <w:spacing w:line="440" w:lineRule="exact"/>
        <w:ind w:firstLine="420" w:firstLineChars="200"/>
        <w:rPr>
          <w:rFonts w:ascii="宋体" w:hAnsi="宋体"/>
          <w:color w:val="auto"/>
          <w:szCs w:val="21"/>
          <w:highlight w:val="none"/>
        </w:rPr>
      </w:pPr>
      <w:r>
        <w:rPr>
          <w:rFonts w:hint="eastAsia"/>
          <w:color w:val="auto"/>
          <w:szCs w:val="21"/>
          <w:highlight w:val="none"/>
        </w:rPr>
        <w:t>2.3</w:t>
      </w:r>
      <w:r>
        <w:rPr>
          <w:rFonts w:hint="eastAsia" w:ascii="宋体" w:hAnsi="宋体"/>
          <w:color w:val="auto"/>
          <w:szCs w:val="21"/>
          <w:highlight w:val="none"/>
        </w:rPr>
        <w:t>严格按《建设工程工程量清单计价规范》、以及省、市建设行政主管部门有关工程计价、结算的规定开展工作，确保编制、审核质量满足下列要求：</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（1）进度款工程量按规定时间完成计算工程量、工程量计算误差不超过±3%；</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（2）工程变更单计算误差不超过±3％。</w:t>
      </w:r>
    </w:p>
    <w:p>
      <w:pPr>
        <w:ind w:firstLine="422" w:firstLineChars="200"/>
        <w:rPr>
          <w:b/>
          <w:bCs/>
          <w:color w:val="auto"/>
          <w:szCs w:val="21"/>
          <w:highlight w:val="none"/>
        </w:rPr>
      </w:pPr>
      <w:r>
        <w:rPr>
          <w:rFonts w:hint="eastAsia"/>
          <w:b/>
          <w:bCs/>
          <w:color w:val="auto"/>
          <w:szCs w:val="21"/>
          <w:highlight w:val="none"/>
        </w:rPr>
        <w:t>三、投入本项目人员要求：</w:t>
      </w:r>
    </w:p>
    <w:p>
      <w:pPr>
        <w:spacing w:line="440" w:lineRule="exact"/>
        <w:ind w:firstLine="417" w:firstLineChars="199"/>
        <w:rPr>
          <w:color w:val="auto"/>
          <w:szCs w:val="21"/>
          <w:highlight w:val="none"/>
        </w:rPr>
      </w:pPr>
      <w:r>
        <w:rPr>
          <w:rFonts w:hint="eastAsia"/>
          <w:color w:val="auto"/>
          <w:szCs w:val="21"/>
          <w:highlight w:val="none"/>
        </w:rPr>
        <w:t>3.1咨询班子人员组成须结合本工程实际配备齐全，所配备的主要专业造价咨询服务人员要求如下：</w:t>
      </w:r>
    </w:p>
    <w:p>
      <w:pPr>
        <w:spacing w:line="440" w:lineRule="exact"/>
        <w:ind w:firstLine="417" w:firstLineChars="199"/>
        <w:rPr>
          <w:color w:val="auto"/>
          <w:szCs w:val="21"/>
          <w:highlight w:val="none"/>
        </w:rPr>
      </w:pPr>
      <w:r>
        <w:rPr>
          <w:rFonts w:hint="eastAsia"/>
          <w:color w:val="auto"/>
          <w:szCs w:val="21"/>
          <w:highlight w:val="none"/>
        </w:rPr>
        <w:t>（1）配备人数（除项目负责人外）：土建1名、安装2名、市政工程1名、智能化1名；从事本专业工作3年（含）以上。</w:t>
      </w:r>
    </w:p>
    <w:p>
      <w:pPr>
        <w:spacing w:line="440" w:lineRule="exact"/>
        <w:ind w:firstLine="417" w:firstLineChars="199"/>
        <w:rPr>
          <w:color w:val="auto"/>
          <w:szCs w:val="21"/>
          <w:highlight w:val="none"/>
        </w:rPr>
      </w:pPr>
      <w:r>
        <w:rPr>
          <w:rFonts w:hint="eastAsia"/>
          <w:color w:val="auto"/>
          <w:szCs w:val="21"/>
          <w:highlight w:val="none"/>
        </w:rPr>
        <w:t>（2）各专业负责人必须具有国家注册造价师注册证书。</w:t>
      </w:r>
    </w:p>
    <w:p>
      <w:pPr>
        <w:spacing w:line="440" w:lineRule="exact"/>
        <w:ind w:firstLine="417" w:firstLineChars="199"/>
        <w:rPr>
          <w:color w:val="auto"/>
          <w:szCs w:val="21"/>
          <w:highlight w:val="none"/>
        </w:rPr>
      </w:pPr>
      <w:r>
        <w:rPr>
          <w:rFonts w:hint="eastAsia"/>
          <w:color w:val="auto"/>
          <w:szCs w:val="21"/>
          <w:highlight w:val="none"/>
        </w:rPr>
        <w:t>3.2 咨询项目部内部应配备具有大型公建EPC项目造价咨询服务丰富经验的专家或顾问，对工程全过程造价控制的实施进行专业技术支持和指导。专家或顾问应参与咨询规划、咨询细则的编制，参与各单体建筑物的工程造价控制及咨询。</w:t>
      </w:r>
    </w:p>
    <w:p>
      <w:pPr>
        <w:tabs>
          <w:tab w:val="left" w:pos="5775"/>
        </w:tabs>
        <w:spacing w:line="40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3.3由于本项目工期紧，单方造价高，要求配备1-2名造价咨询人员进驻施工现场，招标人将进行签到考核。</w:t>
      </w:r>
    </w:p>
    <w:p>
      <w:pPr>
        <w:tabs>
          <w:tab w:val="left" w:pos="5775"/>
        </w:tabs>
        <w:spacing w:line="40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四、项目规范及标准：</w:t>
      </w:r>
    </w:p>
    <w:p>
      <w:pPr>
        <w:tabs>
          <w:tab w:val="left" w:pos="5775"/>
        </w:tabs>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《生物安全实验室建筑技术规范》GB 50346-2011</w:t>
      </w:r>
    </w:p>
    <w:p>
      <w:pPr>
        <w:tabs>
          <w:tab w:val="left" w:pos="5775"/>
        </w:tabs>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《实验动物设施建筑技术规范》GB 50447-2008 </w:t>
      </w:r>
    </w:p>
    <w:p>
      <w:pPr>
        <w:tabs>
          <w:tab w:val="left" w:pos="5775"/>
        </w:tabs>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《实验动物环境及设施》GB 14925-2010</w:t>
      </w:r>
    </w:p>
    <w:p>
      <w:pPr>
        <w:tabs>
          <w:tab w:val="left" w:pos="5775"/>
        </w:tabs>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《实验室 生物安全通用要求》GB 19489-2008</w:t>
      </w:r>
    </w:p>
    <w:p>
      <w:pPr>
        <w:tabs>
          <w:tab w:val="left" w:pos="5775"/>
        </w:tabs>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《工业企业设计卫生标准》TJ36-89</w:t>
      </w:r>
    </w:p>
    <w:p>
      <w:pPr>
        <w:tabs>
          <w:tab w:val="left" w:pos="5775"/>
        </w:tabs>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《大气环境质量标准》GB3095-82</w:t>
      </w:r>
    </w:p>
    <w:p>
      <w:pPr>
        <w:tabs>
          <w:tab w:val="left" w:pos="5775"/>
        </w:tabs>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《工业企业噪声卫生标准》GB188-82</w:t>
      </w:r>
    </w:p>
    <w:p>
      <w:pPr>
        <w:tabs>
          <w:tab w:val="left" w:pos="5775"/>
        </w:tabs>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《中华人民共和国水污染防治法》（2008）</w:t>
      </w:r>
    </w:p>
    <w:p>
      <w:pPr>
        <w:tabs>
          <w:tab w:val="left" w:pos="5775"/>
        </w:tabs>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《中华人民共和国节约能源法》（2007）</w:t>
      </w:r>
    </w:p>
    <w:p>
      <w:pPr>
        <w:tabs>
          <w:tab w:val="left" w:pos="5775"/>
        </w:tabs>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《中华人民共和国固体废弃物污染防治法》（2004）</w:t>
      </w:r>
    </w:p>
    <w:p>
      <w:pPr>
        <w:tabs>
          <w:tab w:val="left" w:pos="5775"/>
        </w:tabs>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《中华人民共和国清洁生产促进法》（2012）</w:t>
      </w:r>
    </w:p>
    <w:p>
      <w:pPr>
        <w:tabs>
          <w:tab w:val="left" w:pos="5775"/>
        </w:tabs>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《建筑设计防火规范》                    GB50016-2014（2018版）</w:t>
      </w:r>
    </w:p>
    <w:p>
      <w:pPr>
        <w:tabs>
          <w:tab w:val="left" w:pos="5775"/>
        </w:tabs>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《建筑内部装修设计防火规范》            GB50222-2017</w:t>
      </w:r>
    </w:p>
    <w:p>
      <w:pPr>
        <w:tabs>
          <w:tab w:val="left" w:pos="5775"/>
        </w:tabs>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《建筑工程抗震设防分类标准》            GB50223-2008</w:t>
      </w:r>
    </w:p>
    <w:p>
      <w:pPr>
        <w:tabs>
          <w:tab w:val="left" w:pos="5775"/>
        </w:tabs>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《建筑给水排水设计规范》                 GB50015-2019</w:t>
      </w:r>
    </w:p>
    <w:p>
      <w:pPr>
        <w:tabs>
          <w:tab w:val="left" w:pos="5775"/>
        </w:tabs>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《建筑灭火器配置设计规范》               GB50140-2005</w:t>
      </w:r>
    </w:p>
    <w:p>
      <w:pPr>
        <w:tabs>
          <w:tab w:val="left" w:pos="5775"/>
        </w:tabs>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《洁净室施工及质量验收规范》 GB 50591-2010</w:t>
      </w:r>
    </w:p>
    <w:p>
      <w:pPr>
        <w:tabs>
          <w:tab w:val="left" w:pos="5775"/>
        </w:tabs>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《供配电系统设计规范》                  GB50052-2009</w:t>
      </w:r>
    </w:p>
    <w:p>
      <w:pPr>
        <w:tabs>
          <w:tab w:val="left" w:pos="5775"/>
        </w:tabs>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《低压配电设计规范》                    GB50054-2011</w:t>
      </w:r>
    </w:p>
    <w:p>
      <w:pPr>
        <w:tabs>
          <w:tab w:val="left" w:pos="5775"/>
        </w:tabs>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《建筑物防雷设计规范》                  GB50057-2010</w:t>
      </w:r>
    </w:p>
    <w:p>
      <w:pPr>
        <w:tabs>
          <w:tab w:val="left" w:pos="5775"/>
        </w:tabs>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国家计委发布的《建设项目经济评价方法与参数》（第三版）及现行财税制度</w:t>
      </w:r>
    </w:p>
    <w:p>
      <w:pPr>
        <w:tabs>
          <w:tab w:val="left" w:pos="5775"/>
        </w:tabs>
        <w:spacing w:line="40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五、成果版权及使用</w:t>
      </w:r>
    </w:p>
    <w:p>
      <w:pPr>
        <w:ind w:firstLine="420" w:firstLineChars="200"/>
        <w:rPr>
          <w:color w:val="auto"/>
          <w:highlight w:val="none"/>
        </w:rPr>
      </w:pPr>
      <w:r>
        <w:rPr>
          <w:rFonts w:hint="eastAsia" w:ascii="宋体" w:hAnsi="宋体"/>
          <w:color w:val="auto"/>
          <w:szCs w:val="21"/>
          <w:highlight w:val="none"/>
        </w:rPr>
        <w:t>成果所有权和使用权均属于杭州医学院。中标单位不得以任何借口留存，则承担由此产生的一切法律和经济责任。未经允许，任何单位和个人不得转让和使用本项目成果。</w:t>
      </w:r>
    </w:p>
    <w:p>
      <w:pPr>
        <w:pStyle w:val="2"/>
        <w:spacing w:before="0" w:after="0" w:line="360" w:lineRule="auto"/>
        <w:rPr>
          <w:rFonts w:ascii="宋体" w:hAnsi="宋体" w:eastAsia="宋体"/>
          <w:color w:val="auto"/>
          <w:sz w:val="30"/>
          <w:szCs w:val="30"/>
          <w:highlight w:val="none"/>
        </w:rPr>
      </w:pPr>
      <w:r>
        <w:rPr>
          <w:rFonts w:hint="eastAsia" w:ascii="宋体" w:hAnsi="宋体" w:eastAsia="宋体"/>
          <w:color w:val="auto"/>
          <w:sz w:val="30"/>
          <w:szCs w:val="30"/>
          <w:highlight w:val="none"/>
        </w:rPr>
        <w:t>合同</w:t>
      </w:r>
    </w:p>
    <w:p>
      <w:pPr>
        <w:spacing w:line="360" w:lineRule="auto"/>
        <w:rPr>
          <w:color w:val="auto"/>
          <w:sz w:val="30"/>
          <w:szCs w:val="30"/>
          <w:highlight w:val="none"/>
        </w:rPr>
      </w:pPr>
    </w:p>
    <w:p>
      <w:pPr>
        <w:pStyle w:val="15"/>
        <w:spacing w:line="280" w:lineRule="atLeast"/>
        <w:jc w:val="center"/>
        <w:rPr>
          <w:color w:val="auto"/>
          <w:sz w:val="30"/>
          <w:szCs w:val="30"/>
          <w:highlight w:val="none"/>
        </w:rPr>
      </w:pPr>
      <w:r>
        <w:rPr>
          <w:rFonts w:hint="eastAsia"/>
          <w:b/>
          <w:color w:val="auto"/>
          <w:sz w:val="30"/>
          <w:szCs w:val="30"/>
          <w:highlight w:val="none"/>
        </w:rPr>
        <w:t>施工阶段全过程造价控制和工程结算审核服务</w:t>
      </w:r>
      <w:r>
        <w:rPr>
          <w:b/>
          <w:color w:val="auto"/>
          <w:sz w:val="30"/>
          <w:szCs w:val="30"/>
          <w:highlight w:val="none"/>
        </w:rPr>
        <w:t>合</w:t>
      </w:r>
      <w:r>
        <w:rPr>
          <w:rFonts w:cs="仿宋_GB2312"/>
          <w:b/>
          <w:bCs/>
          <w:color w:val="auto"/>
          <w:sz w:val="30"/>
          <w:szCs w:val="30"/>
          <w:highlight w:val="none"/>
          <w:lang w:val="zh-CN"/>
        </w:rPr>
        <w:t>同</w:t>
      </w:r>
    </w:p>
    <w:p>
      <w:pPr>
        <w:pStyle w:val="15"/>
        <w:spacing w:line="280" w:lineRule="atLeast"/>
        <w:jc w:val="center"/>
        <w:rPr>
          <w:color w:val="auto"/>
          <w:sz w:val="28"/>
          <w:szCs w:val="28"/>
          <w:highlight w:val="none"/>
        </w:rPr>
      </w:pPr>
    </w:p>
    <w:p>
      <w:pPr>
        <w:pStyle w:val="15"/>
        <w:spacing w:line="280" w:lineRule="atLeast"/>
        <w:jc w:val="center"/>
        <w:rPr>
          <w:color w:val="auto"/>
          <w:sz w:val="28"/>
          <w:szCs w:val="28"/>
          <w:highlight w:val="none"/>
        </w:rPr>
      </w:pPr>
    </w:p>
    <w:p>
      <w:pPr>
        <w:pStyle w:val="15"/>
        <w:spacing w:line="280" w:lineRule="atLeast"/>
        <w:jc w:val="center"/>
        <w:rPr>
          <w:color w:val="auto"/>
          <w:sz w:val="28"/>
          <w:szCs w:val="28"/>
          <w:highlight w:val="none"/>
        </w:rPr>
      </w:pPr>
    </w:p>
    <w:p>
      <w:pPr>
        <w:pStyle w:val="15"/>
        <w:jc w:val="center"/>
        <w:rPr>
          <w:color w:val="auto"/>
          <w:sz w:val="28"/>
          <w:szCs w:val="28"/>
          <w:highlight w:val="none"/>
        </w:rPr>
      </w:pPr>
      <w:r>
        <w:rPr>
          <w:color w:val="auto"/>
          <w:sz w:val="28"/>
          <w:szCs w:val="28"/>
          <w:highlight w:val="none"/>
        </w:rPr>
        <w:t>工程名称：______________________________</w:t>
      </w:r>
    </w:p>
    <w:p>
      <w:pPr>
        <w:pStyle w:val="15"/>
        <w:jc w:val="center"/>
        <w:rPr>
          <w:color w:val="auto"/>
          <w:sz w:val="28"/>
          <w:szCs w:val="28"/>
          <w:highlight w:val="none"/>
        </w:rPr>
      </w:pPr>
      <w:r>
        <w:rPr>
          <w:color w:val="auto"/>
          <w:sz w:val="28"/>
          <w:szCs w:val="28"/>
          <w:highlight w:val="none"/>
        </w:rPr>
        <w:t>工程地点:_______________________________</w:t>
      </w:r>
    </w:p>
    <w:p>
      <w:pPr>
        <w:pStyle w:val="15"/>
        <w:jc w:val="center"/>
        <w:rPr>
          <w:color w:val="auto"/>
          <w:sz w:val="28"/>
          <w:szCs w:val="28"/>
          <w:highlight w:val="none"/>
        </w:rPr>
      </w:pPr>
      <w:r>
        <w:rPr>
          <w:color w:val="auto"/>
          <w:sz w:val="28"/>
          <w:szCs w:val="28"/>
          <w:highlight w:val="none"/>
        </w:rPr>
        <w:t>发包人：________________________________</w:t>
      </w:r>
    </w:p>
    <w:p>
      <w:pPr>
        <w:pStyle w:val="15"/>
        <w:jc w:val="center"/>
        <w:rPr>
          <w:color w:val="auto"/>
          <w:sz w:val="28"/>
          <w:szCs w:val="28"/>
          <w:highlight w:val="none"/>
        </w:rPr>
      </w:pPr>
      <w:r>
        <w:rPr>
          <w:rFonts w:hint="eastAsia"/>
          <w:color w:val="auto"/>
          <w:sz w:val="28"/>
          <w:szCs w:val="28"/>
          <w:highlight w:val="none"/>
        </w:rPr>
        <w:t>承包</w:t>
      </w:r>
      <w:r>
        <w:rPr>
          <w:color w:val="auto"/>
          <w:sz w:val="28"/>
          <w:szCs w:val="28"/>
          <w:highlight w:val="none"/>
        </w:rPr>
        <w:t>人：________________________________</w:t>
      </w:r>
    </w:p>
    <w:p>
      <w:pPr>
        <w:pStyle w:val="15"/>
        <w:jc w:val="center"/>
        <w:rPr>
          <w:color w:val="auto"/>
          <w:sz w:val="28"/>
          <w:szCs w:val="28"/>
          <w:highlight w:val="none"/>
        </w:rPr>
      </w:pPr>
      <w:r>
        <w:rPr>
          <w:color w:val="auto"/>
          <w:sz w:val="28"/>
          <w:szCs w:val="28"/>
          <w:highlight w:val="none"/>
        </w:rPr>
        <w:t>签订日期：______________________________</w:t>
      </w:r>
    </w:p>
    <w:p>
      <w:pPr>
        <w:pStyle w:val="15"/>
        <w:jc w:val="center"/>
        <w:rPr>
          <w:color w:val="auto"/>
          <w:sz w:val="28"/>
          <w:szCs w:val="28"/>
          <w:highlight w:val="none"/>
        </w:rPr>
      </w:pPr>
    </w:p>
    <w:p>
      <w:pPr>
        <w:pStyle w:val="15"/>
        <w:jc w:val="center"/>
        <w:rPr>
          <w:color w:val="auto"/>
          <w:sz w:val="28"/>
          <w:szCs w:val="28"/>
          <w:highlight w:val="none"/>
        </w:rPr>
      </w:pPr>
    </w:p>
    <w:p>
      <w:pPr>
        <w:pStyle w:val="15"/>
        <w:jc w:val="center"/>
        <w:rPr>
          <w:color w:val="auto"/>
          <w:sz w:val="28"/>
          <w:szCs w:val="28"/>
          <w:highlight w:val="none"/>
        </w:rPr>
      </w:pPr>
    </w:p>
    <w:p>
      <w:pPr>
        <w:widowControl/>
        <w:jc w:val="left"/>
        <w:rPr>
          <w:rFonts w:ascii="宋体" w:hAnsi="宋体" w:eastAsia="宋体" w:cs="Times New Roman"/>
          <w:color w:val="auto"/>
          <w:kern w:val="0"/>
          <w:szCs w:val="21"/>
          <w:highlight w:val="none"/>
        </w:rPr>
      </w:pPr>
      <w:r>
        <w:rPr>
          <w:color w:val="auto"/>
          <w:szCs w:val="21"/>
          <w:highlight w:val="none"/>
        </w:rPr>
        <w:br w:type="page"/>
      </w:r>
    </w:p>
    <w:p>
      <w:pPr>
        <w:pStyle w:val="15"/>
        <w:spacing w:before="0" w:beforeAutospacing="0" w:after="0" w:afterAutospacing="0" w:line="660" w:lineRule="exact"/>
        <w:rPr>
          <w:color w:val="auto"/>
          <w:sz w:val="21"/>
          <w:szCs w:val="21"/>
          <w:highlight w:val="none"/>
        </w:rPr>
      </w:pPr>
    </w:p>
    <w:p>
      <w:pPr>
        <w:spacing w:beforeLines="70" w:line="440" w:lineRule="exact"/>
        <w:ind w:firstLine="482"/>
        <w:rPr>
          <w:rFonts w:ascii="宋体" w:hAnsi="宋体"/>
          <w:color w:val="auto"/>
          <w:szCs w:val="21"/>
          <w:highlight w:val="none"/>
        </w:rPr>
      </w:pPr>
      <w:r>
        <w:rPr>
          <w:rFonts w:hint="eastAsia" w:ascii="宋体" w:hAnsi="宋体"/>
          <w:color w:val="auto"/>
          <w:szCs w:val="21"/>
          <w:highlight w:val="none"/>
        </w:rPr>
        <w:t xml:space="preserve">委托人: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440" w:lineRule="exact"/>
        <w:ind w:firstLine="480"/>
        <w:rPr>
          <w:rFonts w:ascii="宋体" w:hAnsi="宋体"/>
          <w:color w:val="auto"/>
          <w:szCs w:val="21"/>
          <w:highlight w:val="none"/>
        </w:rPr>
      </w:pPr>
      <w:r>
        <w:rPr>
          <w:rFonts w:hint="eastAsia" w:ascii="宋体" w:hAnsi="宋体"/>
          <w:color w:val="auto"/>
          <w:szCs w:val="21"/>
          <w:highlight w:val="none"/>
        </w:rPr>
        <w:t xml:space="preserve">受托人:  </w:t>
      </w:r>
      <w:r>
        <w:rPr>
          <w:rFonts w:ascii="宋体" w:hAnsi="宋体"/>
          <w:color w:val="auto"/>
          <w:szCs w:val="21"/>
          <w:highlight w:val="none"/>
        </w:rPr>
        <w:t>___________________</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440" w:lineRule="exact"/>
        <w:rPr>
          <w:rFonts w:ascii="宋体" w:hAnsi="宋体"/>
          <w:color w:val="auto"/>
          <w:szCs w:val="21"/>
          <w:highlight w:val="none"/>
        </w:rPr>
      </w:pPr>
      <w:r>
        <w:rPr>
          <w:rFonts w:hint="eastAsia" w:ascii="宋体" w:hAnsi="宋体"/>
          <w:color w:val="auto"/>
          <w:szCs w:val="21"/>
          <w:highlight w:val="none"/>
        </w:rPr>
        <w:t xml:space="preserve">    鉴于委托人已确定受托人为</w:t>
      </w:r>
      <w:r>
        <w:rPr>
          <w:rFonts w:hint="eastAsia" w:ascii="宋体" w:hAnsi="宋体"/>
          <w:color w:val="auto"/>
          <w:szCs w:val="21"/>
          <w:highlight w:val="none"/>
          <w:u w:val="single"/>
        </w:rPr>
        <w:t xml:space="preserve">         项目</w:t>
      </w:r>
      <w:r>
        <w:rPr>
          <w:rFonts w:hint="eastAsia" w:ascii="宋体" w:hAnsi="宋体"/>
          <w:color w:val="auto"/>
          <w:szCs w:val="21"/>
          <w:highlight w:val="none"/>
        </w:rPr>
        <w:t xml:space="preserve"> 施工阶段全过程造价控制项目招标活动的中标人及工程结算审核项目的预中标人，现根据《中华人民共和国招标投标法》、《中华人民共和国招标投标法实施条例》、招标文件、投标文件及其它工程审计有关规定，委托人委托受托人对</w:t>
      </w:r>
      <w:r>
        <w:rPr>
          <w:rFonts w:hint="eastAsia" w:ascii="宋体" w:hAnsi="宋体"/>
          <w:bCs/>
          <w:color w:val="auto"/>
          <w:szCs w:val="21"/>
          <w:highlight w:val="none"/>
          <w:u w:val="single"/>
        </w:rPr>
        <w:t xml:space="preserve">           </w:t>
      </w:r>
      <w:r>
        <w:rPr>
          <w:rFonts w:hint="eastAsia" w:ascii="宋体" w:hAnsi="宋体"/>
          <w:bCs/>
          <w:color w:val="auto"/>
          <w:szCs w:val="21"/>
          <w:highlight w:val="none"/>
        </w:rPr>
        <w:t>项目</w:t>
      </w:r>
      <w:r>
        <w:rPr>
          <w:rFonts w:hint="eastAsia" w:ascii="宋体" w:hAnsi="宋体"/>
          <w:color w:val="auto"/>
          <w:szCs w:val="21"/>
          <w:highlight w:val="none"/>
        </w:rPr>
        <w:t>提供全过程造价控制审核服务。其中，竣工结算阶段审核工作为预招标，委托人可视受托人在施工阶段过程造价控制工作中的服务质量高低，如不能满足委托人的工作需求，委托人有权单方面取消受托人竣工结算阶段审核工作，并不补偿任何费用。为明确双方的权利、义务和责任，经双方协商一致签订本合同，共同信守。</w:t>
      </w:r>
    </w:p>
    <w:p>
      <w:pPr>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1工程概况</w:t>
      </w:r>
    </w:p>
    <w:p>
      <w:pPr>
        <w:spacing w:line="440" w:lineRule="exact"/>
        <w:rPr>
          <w:rFonts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rPr>
        <w:t>1</w:t>
      </w:r>
      <w:r>
        <w:rPr>
          <w:rFonts w:hint="eastAsia" w:ascii="宋体" w:hAnsi="宋体"/>
          <w:color w:val="auto"/>
          <w:szCs w:val="21"/>
          <w:highlight w:val="none"/>
        </w:rPr>
        <w:t xml:space="preserve">工程名称： </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1.2工程地点： </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1.3工程规模及内容：</w:t>
      </w:r>
      <w:r>
        <w:rPr>
          <w:rFonts w:hint="eastAsia" w:ascii="宋体" w:hAnsi="宋体"/>
          <w:color w:val="auto"/>
          <w:szCs w:val="21"/>
          <w:highlight w:val="none"/>
          <w:u w:val="single"/>
        </w:rPr>
        <w:t xml:space="preserve">    </w:t>
      </w:r>
      <w:r>
        <w:rPr>
          <w:rFonts w:hint="eastAsia" w:ascii="宋体" w:hAnsi="宋体"/>
          <w:color w:val="auto"/>
          <w:szCs w:val="21"/>
          <w:highlight w:val="none"/>
        </w:rPr>
        <w:t>项目前期造价估算、</w:t>
      </w:r>
      <w:r>
        <w:rPr>
          <w:rFonts w:hint="eastAsia" w:ascii="宋体" w:hAnsi="宋体"/>
          <w:bCs/>
          <w:color w:val="auto"/>
          <w:szCs w:val="21"/>
          <w:highlight w:val="none"/>
        </w:rPr>
        <w:t>施工阶段全过程造价控制和工程结算审核。</w:t>
      </w:r>
      <w:r>
        <w:rPr>
          <w:rFonts w:hint="eastAsia" w:ascii="宋体" w:hAnsi="宋体"/>
          <w:color w:val="auto"/>
          <w:szCs w:val="21"/>
          <w:highlight w:val="none"/>
        </w:rPr>
        <w:t>本次竣工结算审计工作为预招标，委托人可视受托人在施工阶段全过程造价咨询与审核工作的服务质量高低，如不能满足委托人的工作需求，委托人有权单方面取消竣工结算审计工作的委托，且不补偿任何费用。</w:t>
      </w:r>
    </w:p>
    <w:p>
      <w:pPr>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2造价控制及咨询目标</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2.1认真履行造价控制及咨询职责，保证项目总投资控制在概（预）算投资限额内，协助业主做好造价的事前管理、事中管理、事后管理，积极配合委托人的法定审计（含招标人上级各部门的审计）工作（如有），并及时提交各项所需资料。</w:t>
      </w:r>
    </w:p>
    <w:p>
      <w:pPr>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3造价控制及咨询依据</w:t>
      </w:r>
    </w:p>
    <w:p>
      <w:pPr>
        <w:pStyle w:val="10"/>
        <w:spacing w:line="440" w:lineRule="exac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3.1国家、省有关法律、法规、条例和规章。</w:t>
      </w:r>
    </w:p>
    <w:p>
      <w:pPr>
        <w:pStyle w:val="10"/>
        <w:spacing w:line="440" w:lineRule="exac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3.2国家及有关部门颁布的工程造价控制及咨询技术标准、规程、规范和工程质量验收标准。</w:t>
      </w:r>
    </w:p>
    <w:p>
      <w:pPr>
        <w:pStyle w:val="10"/>
        <w:spacing w:line="440" w:lineRule="exac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3.3上级主管部门批准的设计文件和批文。</w:t>
      </w:r>
    </w:p>
    <w:p>
      <w:pPr>
        <w:pStyle w:val="10"/>
        <w:spacing w:line="440" w:lineRule="exac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3.4 经审查的施工图纸、设计变更、会议纪要、有关签证及相关资料和说明。</w:t>
      </w:r>
    </w:p>
    <w:p>
      <w:pPr>
        <w:pStyle w:val="10"/>
        <w:spacing w:line="440" w:lineRule="exac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3.5工程施工承包合同及有关文件、附件、补充协议等。</w:t>
      </w:r>
    </w:p>
    <w:p>
      <w:pPr>
        <w:pStyle w:val="10"/>
        <w:spacing w:line="440" w:lineRule="exac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3.6 工程招、投标文件、询标纪要等。</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3.7施工组织设计（或施工方案）、市场价格行情等。</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3.8委托人与施工单位之间往来的补遗、信函等。</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3.9其它文件和资料。</w:t>
      </w:r>
    </w:p>
    <w:p>
      <w:pPr>
        <w:spacing w:line="440" w:lineRule="exact"/>
        <w:ind w:firstLine="422" w:firstLineChars="200"/>
        <w:rPr>
          <w:rFonts w:ascii="宋体" w:hAnsi="宋体" w:cs="宋体"/>
          <w:color w:val="auto"/>
          <w:kern w:val="0"/>
          <w:szCs w:val="21"/>
          <w:highlight w:val="none"/>
        </w:rPr>
      </w:pPr>
      <w:r>
        <w:rPr>
          <w:rFonts w:hint="eastAsia" w:ascii="黑体" w:eastAsia="黑体"/>
          <w:b/>
          <w:bCs/>
          <w:color w:val="auto"/>
          <w:szCs w:val="21"/>
          <w:highlight w:val="none"/>
        </w:rPr>
        <w:t>3.10服务内容和要求</w:t>
      </w:r>
    </w:p>
    <w:p>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投标人在合同签订时，同时向采购人提交整体审计方案，方案需明确各阶段详细审计方案，包括审计计划、重点审计内容、审计人员组成以及提供准备审计资料、清单等。甲乙双方确认后作为合同附件。</w:t>
      </w:r>
    </w:p>
    <w:p>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3.10.1项目前期造价估算</w:t>
      </w:r>
    </w:p>
    <w:p>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投标人需无条件配合招标人对项目分项工程投入的估算进行审核。</w:t>
      </w:r>
    </w:p>
    <w:p>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3.10.2初步设计概算审核</w:t>
      </w:r>
    </w:p>
    <w:p>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在初步设计单位提交概算后,投标人需无条件配合招标人对项目分项工程的概算审核，并</w:t>
      </w:r>
      <w:r>
        <w:rPr>
          <w:rFonts w:hint="eastAsia" w:ascii="宋体" w:hAnsi="宋体"/>
          <w:color w:val="auto"/>
          <w:szCs w:val="21"/>
          <w:highlight w:val="none"/>
        </w:rPr>
        <w:t>与招标代理采用“背靠背”方式完成概算的核对</w:t>
      </w:r>
      <w:r>
        <w:rPr>
          <w:rFonts w:hint="eastAsia" w:ascii="宋体" w:hAnsi="宋体" w:cs="宋体"/>
          <w:color w:val="auto"/>
          <w:kern w:val="0"/>
          <w:szCs w:val="21"/>
          <w:highlight w:val="none"/>
        </w:rPr>
        <w:t>，出具审核报告。</w:t>
      </w:r>
    </w:p>
    <w:p>
      <w:pPr>
        <w:spacing w:line="440" w:lineRule="exact"/>
        <w:ind w:firstLine="480"/>
        <w:rPr>
          <w:color w:val="auto"/>
          <w:szCs w:val="21"/>
          <w:highlight w:val="none"/>
        </w:rPr>
      </w:pPr>
      <w:r>
        <w:rPr>
          <w:rFonts w:hint="eastAsia"/>
          <w:color w:val="auto"/>
          <w:szCs w:val="21"/>
          <w:highlight w:val="none"/>
        </w:rPr>
        <w:t>3.10.3</w:t>
      </w:r>
      <w:r>
        <w:rPr>
          <w:rFonts w:hint="eastAsia" w:ascii="宋体" w:hAnsi="宋体" w:cs="宋体"/>
          <w:color w:val="auto"/>
          <w:kern w:val="0"/>
          <w:szCs w:val="21"/>
          <w:highlight w:val="none"/>
        </w:rPr>
        <w:t>施工阶段全过程造价控制</w:t>
      </w:r>
    </w:p>
    <w:p>
      <w:pPr>
        <w:spacing w:line="440" w:lineRule="exact"/>
        <w:ind w:firstLine="420" w:firstLineChars="200"/>
        <w:rPr>
          <w:color w:val="auto"/>
          <w:szCs w:val="21"/>
          <w:highlight w:val="none"/>
        </w:rPr>
      </w:pPr>
      <w:r>
        <w:rPr>
          <w:rFonts w:hint="eastAsia"/>
          <w:color w:val="auto"/>
          <w:szCs w:val="21"/>
          <w:highlight w:val="none"/>
        </w:rPr>
        <w:t>（1）编制工程量清单及招标控制价，</w:t>
      </w:r>
      <w:r>
        <w:rPr>
          <w:rFonts w:hint="eastAsia" w:ascii="宋体" w:hAnsi="宋体"/>
          <w:color w:val="auto"/>
          <w:szCs w:val="21"/>
          <w:highlight w:val="none"/>
        </w:rPr>
        <w:t>与招标代理采用“背靠背”方式完成招标清单及控制价的编制及核对工作(总承包项目须对总包单位提交的工程量清单及预算进行审核)；</w:t>
      </w:r>
    </w:p>
    <w:p>
      <w:pPr>
        <w:spacing w:line="440" w:lineRule="exact"/>
        <w:ind w:firstLine="480"/>
        <w:rPr>
          <w:color w:val="auto"/>
          <w:szCs w:val="21"/>
          <w:highlight w:val="none"/>
        </w:rPr>
      </w:pPr>
      <w:r>
        <w:rPr>
          <w:rFonts w:hint="eastAsia"/>
          <w:color w:val="auto"/>
          <w:szCs w:val="21"/>
          <w:highlight w:val="none"/>
        </w:rPr>
        <w:t>（2）制定造价控制的实施流程，对承包人报送的工程预算进行审核，确定造价控制目标；</w:t>
      </w:r>
    </w:p>
    <w:p>
      <w:pPr>
        <w:spacing w:line="440" w:lineRule="exact"/>
        <w:ind w:firstLine="480"/>
        <w:rPr>
          <w:color w:val="auto"/>
          <w:szCs w:val="21"/>
          <w:highlight w:val="none"/>
        </w:rPr>
      </w:pPr>
      <w:r>
        <w:rPr>
          <w:rFonts w:hint="eastAsia"/>
          <w:color w:val="auto"/>
          <w:szCs w:val="21"/>
          <w:highlight w:val="none"/>
        </w:rPr>
        <w:t>（3）根据施工承包合同、进度计划，编制用款计划书；</w:t>
      </w:r>
    </w:p>
    <w:p>
      <w:pPr>
        <w:spacing w:line="440" w:lineRule="exact"/>
        <w:ind w:firstLine="480"/>
        <w:rPr>
          <w:color w:val="auto"/>
          <w:szCs w:val="21"/>
          <w:highlight w:val="none"/>
        </w:rPr>
      </w:pPr>
      <w:r>
        <w:rPr>
          <w:rFonts w:hint="eastAsia"/>
          <w:color w:val="auto"/>
          <w:szCs w:val="21"/>
          <w:highlight w:val="none"/>
        </w:rPr>
        <w:t>（4）参与造价控制有关的工程会议；</w:t>
      </w:r>
    </w:p>
    <w:p>
      <w:pPr>
        <w:spacing w:line="440" w:lineRule="exact"/>
        <w:ind w:firstLine="480"/>
        <w:rPr>
          <w:color w:val="auto"/>
          <w:szCs w:val="21"/>
          <w:highlight w:val="none"/>
        </w:rPr>
      </w:pPr>
      <w:r>
        <w:rPr>
          <w:rFonts w:hint="eastAsia"/>
          <w:color w:val="auto"/>
          <w:szCs w:val="21"/>
          <w:highlight w:val="none"/>
        </w:rPr>
        <w:t>（5）负责对承包人报送的每月(期)完成进度款月报表进行审核，并提出当月(期)付款建议书；</w:t>
      </w:r>
    </w:p>
    <w:p>
      <w:pPr>
        <w:spacing w:line="440" w:lineRule="exact"/>
        <w:ind w:firstLine="480"/>
        <w:rPr>
          <w:color w:val="auto"/>
          <w:szCs w:val="21"/>
          <w:highlight w:val="none"/>
        </w:rPr>
      </w:pPr>
      <w:r>
        <w:rPr>
          <w:rFonts w:hint="eastAsia"/>
          <w:color w:val="auto"/>
          <w:szCs w:val="21"/>
          <w:highlight w:val="none"/>
        </w:rPr>
        <w:t>（6）承发包方提出索赔时，凭据合同和有关法律、法规，提供咨询意见；</w:t>
      </w:r>
    </w:p>
    <w:p>
      <w:pPr>
        <w:spacing w:line="440" w:lineRule="exact"/>
        <w:ind w:firstLine="480"/>
        <w:rPr>
          <w:color w:val="auto"/>
          <w:szCs w:val="21"/>
          <w:highlight w:val="none"/>
        </w:rPr>
      </w:pPr>
      <w:r>
        <w:rPr>
          <w:rFonts w:hint="eastAsia"/>
          <w:color w:val="auto"/>
          <w:szCs w:val="21"/>
          <w:highlight w:val="none"/>
        </w:rPr>
        <w:t>（7）协助业主及时审核因设计变更、现场签证等发生的费用，相应调整造价控制目标，并向业主提供造价控制动态分析报告</w:t>
      </w:r>
      <w:r>
        <w:rPr>
          <w:color w:val="auto"/>
          <w:szCs w:val="21"/>
          <w:highlight w:val="none"/>
        </w:rPr>
        <w:t>；</w:t>
      </w:r>
    </w:p>
    <w:p>
      <w:pPr>
        <w:spacing w:line="440" w:lineRule="exact"/>
        <w:ind w:firstLine="480"/>
        <w:rPr>
          <w:color w:val="auto"/>
          <w:szCs w:val="21"/>
          <w:highlight w:val="none"/>
        </w:rPr>
      </w:pPr>
      <w:r>
        <w:rPr>
          <w:color w:val="auto"/>
          <w:szCs w:val="21"/>
          <w:highlight w:val="none"/>
        </w:rPr>
        <w:t>（8）</w:t>
      </w:r>
      <w:r>
        <w:rPr>
          <w:rFonts w:hint="eastAsia"/>
          <w:color w:val="auto"/>
          <w:szCs w:val="21"/>
          <w:highlight w:val="none"/>
        </w:rPr>
        <w:t>对本项目关键性设备、材料进行技术、经济抽查及市场调研等；</w:t>
      </w:r>
    </w:p>
    <w:p>
      <w:pPr>
        <w:spacing w:line="440" w:lineRule="exact"/>
        <w:ind w:firstLine="480"/>
        <w:rPr>
          <w:color w:val="auto"/>
          <w:szCs w:val="21"/>
          <w:highlight w:val="none"/>
        </w:rPr>
      </w:pPr>
      <w:r>
        <w:rPr>
          <w:rFonts w:hint="eastAsia"/>
          <w:color w:val="auto"/>
          <w:szCs w:val="21"/>
          <w:highlight w:val="none"/>
        </w:rPr>
        <w:t>（</w:t>
      </w:r>
      <w:r>
        <w:rPr>
          <w:color w:val="auto"/>
          <w:szCs w:val="21"/>
          <w:highlight w:val="none"/>
        </w:rPr>
        <w:t>9</w:t>
      </w:r>
      <w:r>
        <w:rPr>
          <w:rFonts w:hint="eastAsia"/>
          <w:color w:val="auto"/>
          <w:szCs w:val="21"/>
          <w:highlight w:val="none"/>
        </w:rPr>
        <w:t>）核定分阶段完工的分部工程；</w:t>
      </w:r>
    </w:p>
    <w:p>
      <w:pPr>
        <w:spacing w:line="440" w:lineRule="exact"/>
        <w:ind w:firstLine="480"/>
        <w:rPr>
          <w:color w:val="auto"/>
          <w:szCs w:val="21"/>
          <w:highlight w:val="none"/>
        </w:rPr>
      </w:pPr>
      <w:r>
        <w:rPr>
          <w:rFonts w:hint="eastAsia"/>
          <w:color w:val="auto"/>
          <w:szCs w:val="21"/>
          <w:highlight w:val="none"/>
        </w:rPr>
        <w:t>（</w:t>
      </w:r>
      <w:r>
        <w:rPr>
          <w:color w:val="auto"/>
          <w:szCs w:val="21"/>
          <w:highlight w:val="none"/>
        </w:rPr>
        <w:t>10</w:t>
      </w:r>
      <w:r>
        <w:rPr>
          <w:rFonts w:hint="eastAsia"/>
          <w:color w:val="auto"/>
          <w:szCs w:val="21"/>
          <w:highlight w:val="none"/>
        </w:rPr>
        <w:t>）会同业主办理工程竣工结算，提供完整的结算报告及各项费用汇总表；</w:t>
      </w:r>
    </w:p>
    <w:p>
      <w:pPr>
        <w:spacing w:line="440" w:lineRule="exact"/>
        <w:ind w:firstLine="480"/>
        <w:rPr>
          <w:color w:val="auto"/>
          <w:szCs w:val="21"/>
          <w:highlight w:val="none"/>
        </w:rPr>
      </w:pPr>
      <w:r>
        <w:rPr>
          <w:rFonts w:hint="eastAsia"/>
          <w:color w:val="auto"/>
          <w:szCs w:val="21"/>
          <w:highlight w:val="none"/>
        </w:rPr>
        <w:t>（1</w:t>
      </w:r>
      <w:r>
        <w:rPr>
          <w:color w:val="auto"/>
          <w:szCs w:val="21"/>
          <w:highlight w:val="none"/>
        </w:rPr>
        <w:t>1</w:t>
      </w:r>
      <w:r>
        <w:rPr>
          <w:rFonts w:hint="eastAsia"/>
          <w:color w:val="auto"/>
          <w:szCs w:val="21"/>
          <w:highlight w:val="none"/>
        </w:rPr>
        <w:t>）提供与造价控制相关的人工、材料、机械、设备等造价信息；协助业主确定</w:t>
      </w:r>
      <w:r>
        <w:rPr>
          <w:color w:val="auto"/>
          <w:szCs w:val="21"/>
          <w:highlight w:val="none"/>
        </w:rPr>
        <w:t>“</w:t>
      </w:r>
      <w:r>
        <w:rPr>
          <w:rFonts w:hint="eastAsia"/>
          <w:color w:val="auto"/>
          <w:szCs w:val="21"/>
          <w:highlight w:val="none"/>
        </w:rPr>
        <w:t>甲供材料</w:t>
      </w:r>
      <w:r>
        <w:rPr>
          <w:color w:val="auto"/>
          <w:szCs w:val="21"/>
          <w:highlight w:val="none"/>
        </w:rPr>
        <w:t>”</w:t>
      </w:r>
      <w:r>
        <w:rPr>
          <w:rFonts w:hint="eastAsia"/>
          <w:color w:val="auto"/>
          <w:szCs w:val="21"/>
          <w:highlight w:val="none"/>
        </w:rPr>
        <w:t>、</w:t>
      </w:r>
      <w:r>
        <w:rPr>
          <w:color w:val="auto"/>
          <w:szCs w:val="21"/>
          <w:highlight w:val="none"/>
        </w:rPr>
        <w:t>“</w:t>
      </w:r>
      <w:r>
        <w:rPr>
          <w:rFonts w:hint="eastAsia"/>
          <w:color w:val="auto"/>
          <w:szCs w:val="21"/>
          <w:highlight w:val="none"/>
        </w:rPr>
        <w:t>甲定乙供材料</w:t>
      </w:r>
      <w:r>
        <w:rPr>
          <w:color w:val="auto"/>
          <w:szCs w:val="21"/>
          <w:highlight w:val="none"/>
        </w:rPr>
        <w:t>”</w:t>
      </w:r>
      <w:r>
        <w:rPr>
          <w:rFonts w:hint="eastAsia"/>
          <w:color w:val="auto"/>
          <w:szCs w:val="21"/>
          <w:highlight w:val="none"/>
        </w:rPr>
        <w:t>，并通过市场调查询价确定价格范围，明确甲供材料取费的规定；</w:t>
      </w:r>
    </w:p>
    <w:p>
      <w:pPr>
        <w:spacing w:line="440" w:lineRule="exact"/>
        <w:ind w:firstLine="420" w:firstLineChars="200"/>
        <w:rPr>
          <w:color w:val="auto"/>
          <w:szCs w:val="21"/>
          <w:highlight w:val="none"/>
        </w:rPr>
      </w:pPr>
      <w:r>
        <w:rPr>
          <w:rFonts w:hint="eastAsia"/>
          <w:color w:val="auto"/>
          <w:szCs w:val="21"/>
          <w:highlight w:val="none"/>
        </w:rPr>
        <w:t>（1</w:t>
      </w:r>
      <w:r>
        <w:rPr>
          <w:color w:val="auto"/>
          <w:szCs w:val="21"/>
          <w:highlight w:val="none"/>
        </w:rPr>
        <w:t>2</w:t>
      </w:r>
      <w:r>
        <w:rPr>
          <w:rFonts w:hint="eastAsia"/>
          <w:color w:val="auto"/>
          <w:szCs w:val="21"/>
          <w:highlight w:val="none"/>
        </w:rPr>
        <w:t>）协助业主审核招标文件，对承包单位的投标文件进行复核，对不合理的报价应及时提出，协助业主签订施工承包合同；</w:t>
      </w:r>
    </w:p>
    <w:p>
      <w:pPr>
        <w:spacing w:line="440" w:lineRule="exact"/>
        <w:ind w:firstLine="420" w:firstLineChars="200"/>
        <w:rPr>
          <w:color w:val="auto"/>
          <w:szCs w:val="21"/>
          <w:highlight w:val="none"/>
        </w:rPr>
      </w:pPr>
      <w:r>
        <w:rPr>
          <w:rFonts w:hint="eastAsia"/>
          <w:color w:val="auto"/>
          <w:szCs w:val="21"/>
          <w:highlight w:val="none"/>
        </w:rPr>
        <w:t>（1</w:t>
      </w:r>
      <w:r>
        <w:rPr>
          <w:color w:val="auto"/>
          <w:szCs w:val="21"/>
          <w:highlight w:val="none"/>
        </w:rPr>
        <w:t>3</w:t>
      </w:r>
      <w:r>
        <w:rPr>
          <w:rFonts w:hint="eastAsia"/>
          <w:color w:val="auto"/>
          <w:szCs w:val="21"/>
          <w:highlight w:val="none"/>
        </w:rPr>
        <w:t>）积极配合业主的法定审计（含招标人上级各部门的审计）工作，并及时提交各项所需资料；</w:t>
      </w:r>
    </w:p>
    <w:p>
      <w:pPr>
        <w:spacing w:line="440" w:lineRule="exact"/>
        <w:ind w:firstLine="420" w:firstLineChars="200"/>
        <w:rPr>
          <w:color w:val="auto"/>
          <w:szCs w:val="21"/>
          <w:highlight w:val="none"/>
        </w:rPr>
      </w:pPr>
      <w:r>
        <w:rPr>
          <w:rFonts w:hint="eastAsia"/>
          <w:color w:val="auto"/>
          <w:szCs w:val="21"/>
          <w:highlight w:val="none"/>
        </w:rPr>
        <w:t>（1</w:t>
      </w:r>
      <w:r>
        <w:rPr>
          <w:color w:val="auto"/>
          <w:szCs w:val="21"/>
          <w:highlight w:val="none"/>
        </w:rPr>
        <w:t>4</w:t>
      </w:r>
      <w:r>
        <w:rPr>
          <w:rFonts w:hint="eastAsia"/>
          <w:color w:val="auto"/>
          <w:szCs w:val="21"/>
          <w:highlight w:val="none"/>
        </w:rPr>
        <w:t>）</w:t>
      </w:r>
      <w:r>
        <w:rPr>
          <w:rFonts w:hint="eastAsia" w:ascii="宋体" w:hAnsi="宋体" w:cs="宋体"/>
          <w:color w:val="auto"/>
          <w:kern w:val="0"/>
          <w:szCs w:val="21"/>
          <w:highlight w:val="none"/>
        </w:rPr>
        <w:t>项目负责人及各专业咨询人员根据项目情况，随叫随到。</w:t>
      </w:r>
      <w:r>
        <w:rPr>
          <w:rFonts w:hint="eastAsia"/>
          <w:color w:val="auto"/>
          <w:szCs w:val="21"/>
          <w:highlight w:val="none"/>
        </w:rPr>
        <w:t>。项目负责人及造价咨询服务人员未经业主同意不得随意更换变动，因客观情况确需更换的，应征得发包人同意，且更换后的人员不得低于原投标承诺人员所具有的资格和业绩条件；</w:t>
      </w:r>
    </w:p>
    <w:p>
      <w:pPr>
        <w:spacing w:line="440" w:lineRule="exact"/>
        <w:ind w:firstLine="417" w:firstLineChars="199"/>
        <w:rPr>
          <w:color w:val="auto"/>
          <w:szCs w:val="21"/>
          <w:highlight w:val="none"/>
        </w:rPr>
      </w:pPr>
      <w:r>
        <w:rPr>
          <w:rFonts w:hint="eastAsia"/>
          <w:color w:val="auto"/>
          <w:szCs w:val="21"/>
          <w:highlight w:val="none"/>
        </w:rPr>
        <w:t>（1</w:t>
      </w:r>
      <w:r>
        <w:rPr>
          <w:color w:val="auto"/>
          <w:szCs w:val="21"/>
          <w:highlight w:val="none"/>
        </w:rPr>
        <w:t>5</w:t>
      </w:r>
      <w:r>
        <w:rPr>
          <w:rFonts w:hint="eastAsia"/>
          <w:color w:val="auto"/>
          <w:szCs w:val="21"/>
          <w:highlight w:val="none"/>
        </w:rPr>
        <w:t>）除现场造价咨询人数要求外，公司还须安排造价咨询的专家库成员协助完成施工阶段全过程造价控制和工程结算审核服务内容的所有工作；</w:t>
      </w:r>
    </w:p>
    <w:p>
      <w:pPr>
        <w:spacing w:line="440" w:lineRule="exact"/>
        <w:ind w:firstLine="417" w:firstLineChars="199"/>
        <w:rPr>
          <w:color w:val="auto"/>
          <w:szCs w:val="21"/>
          <w:highlight w:val="none"/>
        </w:rPr>
      </w:pPr>
      <w:r>
        <w:rPr>
          <w:rFonts w:hint="eastAsia"/>
          <w:color w:val="auto"/>
          <w:szCs w:val="21"/>
          <w:highlight w:val="none"/>
        </w:rPr>
        <w:t>（1</w:t>
      </w:r>
      <w:r>
        <w:rPr>
          <w:color w:val="auto"/>
          <w:szCs w:val="21"/>
          <w:highlight w:val="none"/>
        </w:rPr>
        <w:t>6</w:t>
      </w:r>
      <w:r>
        <w:rPr>
          <w:rFonts w:hint="eastAsia"/>
          <w:color w:val="auto"/>
          <w:szCs w:val="21"/>
          <w:highlight w:val="none"/>
        </w:rPr>
        <w:t>）建设单位要求的其他与工程建设相关的咨询服务。</w:t>
      </w:r>
    </w:p>
    <w:p>
      <w:pPr>
        <w:spacing w:line="440" w:lineRule="exact"/>
        <w:ind w:firstLine="480"/>
        <w:rPr>
          <w:color w:val="auto"/>
          <w:szCs w:val="21"/>
          <w:highlight w:val="none"/>
        </w:rPr>
      </w:pPr>
      <w:r>
        <w:rPr>
          <w:rFonts w:hint="eastAsia"/>
          <w:color w:val="auto"/>
          <w:szCs w:val="21"/>
          <w:highlight w:val="none"/>
        </w:rPr>
        <w:t>3.10.3</w:t>
      </w:r>
      <w:r>
        <w:rPr>
          <w:rFonts w:hint="eastAsia" w:ascii="宋体" w:hAnsi="宋体" w:cs="宋体"/>
          <w:color w:val="auto"/>
          <w:kern w:val="0"/>
          <w:szCs w:val="21"/>
          <w:highlight w:val="none"/>
        </w:rPr>
        <w:t>工程结算审核</w:t>
      </w:r>
    </w:p>
    <w:p>
      <w:pPr>
        <w:spacing w:line="440" w:lineRule="exact"/>
        <w:ind w:firstLine="417" w:firstLineChars="199"/>
        <w:rPr>
          <w:color w:val="auto"/>
          <w:szCs w:val="21"/>
          <w:highlight w:val="none"/>
        </w:rPr>
      </w:pPr>
      <w:r>
        <w:rPr>
          <w:rFonts w:hint="eastAsia"/>
          <w:color w:val="auto"/>
          <w:szCs w:val="21"/>
          <w:highlight w:val="none"/>
        </w:rPr>
        <w:t>（1）根据工程合同相应的建设工程法律、法规、标准规范与工程计价依据、招投标文件、施工图纸、现场发生的各项有效证明审核工程造价；</w:t>
      </w:r>
    </w:p>
    <w:p>
      <w:pPr>
        <w:spacing w:line="440" w:lineRule="exact"/>
        <w:ind w:firstLine="417" w:firstLineChars="199"/>
        <w:rPr>
          <w:color w:val="auto"/>
          <w:szCs w:val="21"/>
          <w:highlight w:val="none"/>
        </w:rPr>
      </w:pPr>
      <w:r>
        <w:rPr>
          <w:rFonts w:hint="eastAsia"/>
          <w:color w:val="auto"/>
          <w:szCs w:val="21"/>
          <w:highlight w:val="none"/>
        </w:rPr>
        <w:t>（2）现场踏勘、计量复核；</w:t>
      </w:r>
    </w:p>
    <w:p>
      <w:pPr>
        <w:spacing w:line="440" w:lineRule="exact"/>
        <w:ind w:firstLine="417" w:firstLineChars="199"/>
        <w:rPr>
          <w:color w:val="auto"/>
          <w:szCs w:val="21"/>
          <w:highlight w:val="none"/>
        </w:rPr>
      </w:pPr>
      <w:r>
        <w:rPr>
          <w:rFonts w:hint="eastAsia"/>
          <w:color w:val="auto"/>
          <w:szCs w:val="21"/>
          <w:highlight w:val="none"/>
        </w:rPr>
        <w:t>（3）工程量、工程要素价格及各类项目费用进行审核确定；</w:t>
      </w:r>
    </w:p>
    <w:p>
      <w:pPr>
        <w:spacing w:line="440" w:lineRule="exact"/>
        <w:ind w:firstLine="417" w:firstLineChars="199"/>
        <w:rPr>
          <w:color w:val="auto"/>
          <w:szCs w:val="21"/>
          <w:highlight w:val="none"/>
        </w:rPr>
      </w:pPr>
      <w:r>
        <w:rPr>
          <w:rFonts w:hint="eastAsia"/>
          <w:color w:val="auto"/>
          <w:szCs w:val="21"/>
          <w:highlight w:val="none"/>
        </w:rPr>
        <w:t>（4）编制工程结算审核报告。</w:t>
      </w:r>
    </w:p>
    <w:p>
      <w:pPr>
        <w:spacing w:line="440" w:lineRule="exact"/>
        <w:ind w:firstLine="420" w:firstLineChars="200"/>
        <w:rPr>
          <w:rFonts w:ascii="宋体" w:hAnsi="宋体"/>
          <w:color w:val="auto"/>
          <w:szCs w:val="21"/>
          <w:highlight w:val="none"/>
        </w:rPr>
      </w:pPr>
      <w:r>
        <w:rPr>
          <w:rFonts w:hint="eastAsia"/>
          <w:color w:val="auto"/>
          <w:szCs w:val="21"/>
          <w:highlight w:val="none"/>
        </w:rPr>
        <w:t>3.10.3</w:t>
      </w:r>
      <w:r>
        <w:rPr>
          <w:rFonts w:hint="eastAsia" w:ascii="宋体" w:hAnsi="宋体"/>
          <w:color w:val="auto"/>
          <w:szCs w:val="21"/>
          <w:highlight w:val="none"/>
        </w:rPr>
        <w:t>严格按《建设工程工程量清单计价规范》、以及省、市建设行政主管部门有关工程计价、结算的规定开展工作，确保编制、审核质量满足下列要求：</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（1）进度款工程量按规定时间完成计算工程量、工程量计算误差不超过±3%；</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（2）工程变更单计算误差不超过±3％。</w:t>
      </w:r>
    </w:p>
    <w:p>
      <w:pPr>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4造价控制及咨询组织</w:t>
      </w:r>
    </w:p>
    <w:p>
      <w:pPr>
        <w:pStyle w:val="10"/>
        <w:spacing w:line="440" w:lineRule="exact"/>
        <w:ind w:firstLine="480"/>
        <w:rPr>
          <w:rFonts w:ascii="宋体" w:hAnsi="宋体" w:eastAsia="宋体"/>
          <w:color w:val="auto"/>
          <w:sz w:val="21"/>
          <w:szCs w:val="21"/>
          <w:highlight w:val="none"/>
        </w:rPr>
      </w:pPr>
      <w:r>
        <w:rPr>
          <w:rFonts w:hint="eastAsia" w:ascii="宋体" w:hAnsi="宋体" w:eastAsia="宋体"/>
          <w:color w:val="auto"/>
          <w:sz w:val="21"/>
          <w:szCs w:val="21"/>
          <w:highlight w:val="none"/>
        </w:rPr>
        <w:t>4.1自本合同签订后（ ）日内，受托人在本工程施工现场设立“</w:t>
      </w:r>
      <w:r>
        <w:rPr>
          <w:rFonts w:ascii="宋体" w:hAnsi="宋体" w:eastAsia="宋体"/>
          <w:color w:val="auto"/>
          <w:sz w:val="21"/>
          <w:szCs w:val="21"/>
          <w:highlight w:val="none"/>
        </w:rPr>
        <w:t>____________</w:t>
      </w:r>
      <w:r>
        <w:rPr>
          <w:rFonts w:hint="eastAsia" w:ascii="宋体" w:hAnsi="宋体" w:eastAsia="宋体"/>
          <w:color w:val="auto"/>
          <w:sz w:val="21"/>
          <w:szCs w:val="21"/>
          <w:highlight w:val="none"/>
          <w:u w:val="single"/>
        </w:rPr>
        <w:t xml:space="preserve">  </w:t>
      </w:r>
      <w:r>
        <w:rPr>
          <w:rFonts w:ascii="宋体" w:hAnsi="宋体" w:eastAsia="宋体"/>
          <w:color w:val="auto"/>
          <w:sz w:val="21"/>
          <w:szCs w:val="21"/>
          <w:highlight w:val="none"/>
        </w:rPr>
        <w:t>_______</w:t>
      </w:r>
      <w:r>
        <w:rPr>
          <w:rFonts w:hint="eastAsia" w:ascii="宋体" w:hAnsi="宋体" w:eastAsia="宋体"/>
          <w:color w:val="auto"/>
          <w:sz w:val="21"/>
          <w:szCs w:val="21"/>
          <w:highlight w:val="none"/>
        </w:rPr>
        <w:t>工程造价控制及咨询部”并授权</w:t>
      </w:r>
      <w:r>
        <w:rPr>
          <w:rFonts w:ascii="宋体" w:hAnsi="宋体" w:eastAsia="宋体"/>
          <w:color w:val="auto"/>
          <w:sz w:val="21"/>
          <w:szCs w:val="21"/>
          <w:highlight w:val="none"/>
        </w:rPr>
        <w:t>_______</w:t>
      </w:r>
      <w:r>
        <w:rPr>
          <w:rFonts w:hint="eastAsia" w:ascii="宋体" w:hAnsi="宋体" w:eastAsia="宋体"/>
          <w:color w:val="auto"/>
          <w:sz w:val="21"/>
          <w:szCs w:val="21"/>
          <w:highlight w:val="none"/>
        </w:rPr>
        <w:t>（投标时所拟派的项目负责人）</w:t>
      </w:r>
      <w:r>
        <w:rPr>
          <w:rFonts w:ascii="宋体" w:hAnsi="宋体" w:eastAsia="宋体"/>
          <w:color w:val="auto"/>
          <w:sz w:val="21"/>
          <w:szCs w:val="21"/>
          <w:highlight w:val="none"/>
        </w:rPr>
        <w:t>_</w:t>
      </w:r>
      <w:r>
        <w:rPr>
          <w:rFonts w:hint="eastAsia" w:ascii="宋体" w:hAnsi="宋体" w:eastAsia="宋体"/>
          <w:color w:val="auto"/>
          <w:sz w:val="21"/>
          <w:szCs w:val="21"/>
          <w:highlight w:val="none"/>
        </w:rPr>
        <w:t>为造价控制及咨询项目负责人，全权负责本工程的造价控制及咨询事宜。受托人投入到本工程的造价控制及咨询总人数为</w:t>
      </w:r>
      <w:r>
        <w:rPr>
          <w:rFonts w:ascii="宋体" w:hAnsi="宋体" w:eastAsia="宋体"/>
          <w:color w:val="auto"/>
          <w:sz w:val="21"/>
          <w:szCs w:val="21"/>
          <w:highlight w:val="none"/>
        </w:rPr>
        <w:t>_____</w:t>
      </w:r>
      <w:r>
        <w:rPr>
          <w:rFonts w:hint="eastAsia" w:ascii="宋体" w:hAnsi="宋体" w:eastAsia="宋体"/>
          <w:color w:val="auto"/>
          <w:sz w:val="21"/>
          <w:szCs w:val="21"/>
          <w:highlight w:val="none"/>
        </w:rPr>
        <w:t>人（详见附件），未经委托人同意不得擅自更换，否则视同违约（经委托人同意所更换的人员资质、经验等不得低于原人员）。为确保造价控制及咨询工作正常、顺利、有序的开展，造价控制及咨询人员应根据施工进度和造价控制及咨询工作大纲的要求及时选派到位。</w:t>
      </w:r>
    </w:p>
    <w:p>
      <w:pPr>
        <w:pStyle w:val="10"/>
        <w:spacing w:line="440" w:lineRule="exac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4.2委托人委派</w:t>
      </w:r>
      <w:r>
        <w:rPr>
          <w:rFonts w:ascii="宋体" w:hAnsi="宋体" w:eastAsia="宋体"/>
          <w:color w:val="auto"/>
          <w:sz w:val="21"/>
          <w:szCs w:val="21"/>
          <w:highlight w:val="none"/>
        </w:rPr>
        <w:t>___________________</w:t>
      </w:r>
      <w:r>
        <w:rPr>
          <w:rFonts w:hint="eastAsia" w:ascii="宋体" w:hAnsi="宋体" w:eastAsia="宋体"/>
          <w:color w:val="auto"/>
          <w:sz w:val="21"/>
          <w:szCs w:val="21"/>
          <w:highlight w:val="none"/>
        </w:rPr>
        <w:t>具体负责与受托人的工作联系。</w:t>
      </w:r>
    </w:p>
    <w:p>
      <w:pPr>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5委托人的责任和权利</w:t>
      </w:r>
    </w:p>
    <w:p>
      <w:pPr>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委托人责任：</w:t>
      </w:r>
    </w:p>
    <w:p>
      <w:pPr>
        <w:pStyle w:val="10"/>
        <w:spacing w:line="44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5.1委托受托人对本工程实施造价控制及咨询，并通知施工承包人和其他有关单位，并协调受托人在审计过程中与工程各方单位之间的关系。</w:t>
      </w:r>
    </w:p>
    <w:p>
      <w:pPr>
        <w:pStyle w:val="10"/>
        <w:spacing w:line="440" w:lineRule="exac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5.2提供项目建设批准文件、勘察设计文件、施工合同文件（包括合同协议书、中标（成交）通知书、投标文件、询标纪要等资料）和委托人发出的有关文件各一份，施工图纸二份。</w:t>
      </w:r>
    </w:p>
    <w:p>
      <w:pPr>
        <w:pStyle w:val="10"/>
        <w:spacing w:line="44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5.3负责向受托人咨询人员提供办公场所，并为受托人进驻施工现场提供方便。</w:t>
      </w:r>
    </w:p>
    <w:p>
      <w:pPr>
        <w:pStyle w:val="10"/>
        <w:spacing w:line="44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5.4按本合同规定支付咨询服务费。</w:t>
      </w:r>
    </w:p>
    <w:p>
      <w:pPr>
        <w:pStyle w:val="10"/>
        <w:spacing w:line="440" w:lineRule="exac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5.5对受托人提出的全部报告、文件或咨询建议及时研究并作出答复。批复应由委托人批准的事项。</w:t>
      </w:r>
    </w:p>
    <w:p>
      <w:pPr>
        <w:pStyle w:val="10"/>
        <w:spacing w:line="440" w:lineRule="exac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5.6 通知受托人参加有关工程造价的协调会议等。   </w:t>
      </w:r>
    </w:p>
    <w:p>
      <w:pPr>
        <w:pStyle w:val="10"/>
        <w:spacing w:line="440" w:lineRule="exact"/>
        <w:ind w:firstLine="480"/>
        <w:rPr>
          <w:rFonts w:ascii="宋体" w:hAnsi="宋体" w:eastAsia="宋体"/>
          <w:b/>
          <w:color w:val="auto"/>
          <w:sz w:val="21"/>
          <w:szCs w:val="21"/>
          <w:highlight w:val="none"/>
        </w:rPr>
      </w:pPr>
      <w:r>
        <w:rPr>
          <w:rFonts w:hint="eastAsia" w:ascii="宋体" w:hAnsi="宋体" w:eastAsia="宋体"/>
          <w:b/>
          <w:color w:val="auto"/>
          <w:sz w:val="21"/>
          <w:szCs w:val="21"/>
          <w:highlight w:val="none"/>
        </w:rPr>
        <w:t>委托人权利：</w:t>
      </w:r>
    </w:p>
    <w:p>
      <w:pPr>
        <w:pStyle w:val="10"/>
        <w:spacing w:line="440" w:lineRule="exact"/>
        <w:ind w:firstLine="480"/>
        <w:rPr>
          <w:rFonts w:ascii="宋体" w:hAnsi="宋体" w:eastAsia="宋体"/>
          <w:color w:val="auto"/>
          <w:sz w:val="21"/>
          <w:szCs w:val="21"/>
          <w:highlight w:val="none"/>
        </w:rPr>
      </w:pPr>
      <w:r>
        <w:rPr>
          <w:rFonts w:hint="eastAsia" w:ascii="宋体" w:hAnsi="宋体" w:eastAsia="宋体"/>
          <w:color w:val="auto"/>
          <w:sz w:val="21"/>
          <w:szCs w:val="21"/>
          <w:highlight w:val="none"/>
        </w:rPr>
        <w:t>5.7当委托人认为发生下列任何一种情况时，有权向受托人提出调整、更换咨询人员，给委托人造成经济损失的，委托人有权在支付服务费时直接予以全额扣除，不足部分委托人有权继续追偿：</w:t>
      </w:r>
    </w:p>
    <w:p>
      <w:pPr>
        <w:spacing w:line="440" w:lineRule="exact"/>
        <w:ind w:firstLine="480"/>
        <w:rPr>
          <w:rFonts w:ascii="宋体" w:hAnsi="宋体"/>
          <w:color w:val="auto"/>
          <w:szCs w:val="21"/>
          <w:highlight w:val="none"/>
        </w:rPr>
      </w:pPr>
      <w:r>
        <w:rPr>
          <w:rFonts w:hint="eastAsia" w:ascii="宋体" w:hAnsi="宋体"/>
          <w:color w:val="auto"/>
          <w:szCs w:val="21"/>
          <w:highlight w:val="none"/>
        </w:rPr>
        <w:t>（1）工程造价控制及咨询人员的能力不足以胜任所负职责；</w:t>
      </w:r>
    </w:p>
    <w:p>
      <w:pPr>
        <w:spacing w:line="440" w:lineRule="exact"/>
        <w:ind w:firstLine="480"/>
        <w:rPr>
          <w:rFonts w:ascii="宋体" w:hAnsi="宋体"/>
          <w:color w:val="auto"/>
          <w:szCs w:val="21"/>
          <w:highlight w:val="none"/>
        </w:rPr>
      </w:pPr>
      <w:r>
        <w:rPr>
          <w:rFonts w:hint="eastAsia" w:ascii="宋体" w:hAnsi="宋体"/>
          <w:color w:val="auto"/>
          <w:szCs w:val="21"/>
          <w:highlight w:val="none"/>
        </w:rPr>
        <w:t>（2）工程造价控制及咨询人员不能严格按本合同规定履行咨询职责；</w:t>
      </w:r>
    </w:p>
    <w:p>
      <w:pPr>
        <w:spacing w:line="440" w:lineRule="exact"/>
        <w:ind w:firstLine="480"/>
        <w:rPr>
          <w:rFonts w:ascii="宋体" w:hAnsi="宋体"/>
          <w:color w:val="auto"/>
          <w:szCs w:val="21"/>
          <w:highlight w:val="none"/>
        </w:rPr>
      </w:pPr>
      <w:r>
        <w:rPr>
          <w:rFonts w:hint="eastAsia" w:ascii="宋体" w:hAnsi="宋体"/>
          <w:color w:val="auto"/>
          <w:szCs w:val="21"/>
          <w:highlight w:val="none"/>
        </w:rPr>
        <w:t>（3）工程造价控制及咨询人员的行为有损咨询工作的科学性、公正性、廉洁性；</w:t>
      </w:r>
    </w:p>
    <w:p>
      <w:pPr>
        <w:spacing w:line="440" w:lineRule="exact"/>
        <w:ind w:firstLine="480"/>
        <w:rPr>
          <w:rFonts w:ascii="宋体" w:hAnsi="宋体"/>
          <w:color w:val="auto"/>
          <w:szCs w:val="21"/>
          <w:highlight w:val="none"/>
        </w:rPr>
      </w:pPr>
      <w:r>
        <w:rPr>
          <w:rFonts w:hint="eastAsia" w:ascii="宋体" w:hAnsi="宋体"/>
          <w:color w:val="auto"/>
          <w:szCs w:val="21"/>
          <w:highlight w:val="none"/>
        </w:rPr>
        <w:t>（4）工程造价控制及咨询人员与施工人员或设备、材料供应商发生合伙经营关系，或与第三人串通造成委托人经济损失的；</w:t>
      </w:r>
    </w:p>
    <w:p>
      <w:pPr>
        <w:spacing w:line="440" w:lineRule="exact"/>
        <w:ind w:firstLine="480"/>
        <w:rPr>
          <w:rFonts w:ascii="宋体" w:hAnsi="宋体"/>
          <w:color w:val="auto"/>
          <w:szCs w:val="21"/>
          <w:highlight w:val="none"/>
        </w:rPr>
      </w:pPr>
      <w:r>
        <w:rPr>
          <w:rFonts w:hint="eastAsia" w:ascii="宋体" w:hAnsi="宋体"/>
          <w:color w:val="auto"/>
          <w:szCs w:val="21"/>
          <w:highlight w:val="none"/>
        </w:rPr>
        <w:t>（5）法律法规规定其它损害甲方利益和公共利益的情形。</w:t>
      </w:r>
    </w:p>
    <w:p>
      <w:pPr>
        <w:spacing w:line="440" w:lineRule="exact"/>
        <w:ind w:firstLine="480"/>
        <w:rPr>
          <w:rFonts w:ascii="宋体" w:hAnsi="宋体"/>
          <w:color w:val="auto"/>
          <w:szCs w:val="21"/>
          <w:highlight w:val="none"/>
        </w:rPr>
      </w:pPr>
      <w:r>
        <w:rPr>
          <w:rFonts w:hint="eastAsia" w:ascii="宋体" w:hAnsi="宋体"/>
          <w:color w:val="auto"/>
          <w:szCs w:val="21"/>
          <w:highlight w:val="none"/>
        </w:rPr>
        <w:t>5.8委托人有权向受托人询问工作进展情况及相关的内容，并提出对具体问题的意见和建议；</w:t>
      </w:r>
    </w:p>
    <w:p>
      <w:pPr>
        <w:spacing w:line="440" w:lineRule="exact"/>
        <w:ind w:firstLine="480"/>
        <w:rPr>
          <w:rFonts w:ascii="宋体" w:hAnsi="宋体"/>
          <w:color w:val="auto"/>
          <w:szCs w:val="21"/>
          <w:highlight w:val="none"/>
        </w:rPr>
      </w:pPr>
      <w:r>
        <w:rPr>
          <w:rFonts w:hint="eastAsia" w:ascii="宋体" w:hAnsi="宋体"/>
          <w:color w:val="auto"/>
          <w:szCs w:val="21"/>
          <w:highlight w:val="none"/>
        </w:rPr>
        <w:t>5.9委托人有权对受托人的咨询结果进行复核，必要时可另请其他咨询单位对咨询结果进行复核；</w:t>
      </w:r>
    </w:p>
    <w:p>
      <w:pPr>
        <w:spacing w:line="440" w:lineRule="exact"/>
        <w:ind w:firstLine="480"/>
        <w:rPr>
          <w:rFonts w:ascii="宋体" w:hAnsi="宋体"/>
          <w:color w:val="auto"/>
          <w:szCs w:val="21"/>
          <w:highlight w:val="none"/>
        </w:rPr>
      </w:pPr>
      <w:r>
        <w:rPr>
          <w:rFonts w:hint="eastAsia" w:ascii="宋体" w:hAnsi="宋体"/>
          <w:color w:val="auto"/>
          <w:szCs w:val="21"/>
          <w:highlight w:val="none"/>
        </w:rPr>
        <w:t>5.10委托人有权对受托人出勤率进行考核，对达不到合同规定要求的，按合同约定扣除相应金额，直至提前解除本合同。</w:t>
      </w:r>
    </w:p>
    <w:p>
      <w:pPr>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6 受托人的责任和权利</w:t>
      </w:r>
    </w:p>
    <w:p>
      <w:pPr>
        <w:pStyle w:val="10"/>
        <w:spacing w:line="440" w:lineRule="exact"/>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6.1受托人责任：</w:t>
      </w:r>
    </w:p>
    <w:p>
      <w:pPr>
        <w:pStyle w:val="10"/>
        <w:spacing w:line="44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6.1 .1组织建立工程造价控制及咨询机构，委派项目负责人，并授予其行使本工程造价控制及咨询合同范围内处理咨询业务的全部权力。</w:t>
      </w:r>
    </w:p>
    <w:p>
      <w:pPr>
        <w:pStyle w:val="10"/>
        <w:spacing w:line="440" w:lineRule="exac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6.1.2 未经委托人同意，受托人不得调换项目负责人和已派现场的造价咨询服务人员。</w:t>
      </w:r>
    </w:p>
    <w:p>
      <w:pPr>
        <w:pStyle w:val="10"/>
        <w:spacing w:line="440" w:lineRule="exac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6.1.3 根据国家有关法律、法规、规定、工程建设批文、合同、规范、验收标准等对工程进行工程造价控制及咨询。</w:t>
      </w:r>
    </w:p>
    <w:p>
      <w:pPr>
        <w:pStyle w:val="10"/>
        <w:spacing w:line="440" w:lineRule="exac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6.1.4 编制工程造价控制及咨询工作大纲和实施细则报委托人审定。</w:t>
      </w:r>
    </w:p>
    <w:p>
      <w:pPr>
        <w:pStyle w:val="10"/>
        <w:spacing w:line="440" w:lineRule="exact"/>
        <w:rPr>
          <w:rFonts w:ascii="宋体" w:hAnsi="宋体" w:eastAsia="宋体"/>
          <w:color w:val="auto"/>
          <w:sz w:val="21"/>
          <w:szCs w:val="21"/>
          <w:highlight w:val="none"/>
        </w:rPr>
      </w:pPr>
      <w:r>
        <w:rPr>
          <w:rFonts w:hint="eastAsia" w:ascii="宋体" w:hAnsi="宋体" w:eastAsia="宋体"/>
          <w:color w:val="auto"/>
          <w:sz w:val="21"/>
          <w:szCs w:val="21"/>
          <w:highlight w:val="none"/>
        </w:rPr>
        <w:t>　　6.1.5 及时调遣咨询人员、设备进入施工现场，完成咨询准备工作。</w:t>
      </w:r>
    </w:p>
    <w:p>
      <w:pPr>
        <w:pStyle w:val="10"/>
        <w:spacing w:line="440" w:lineRule="exac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6.1.6 参加施工图纸交底及设计图纸会审，计算、审核施工单位提供的工程量及工程造价，并提交计算底稿及软件资料。</w:t>
      </w:r>
    </w:p>
    <w:p>
      <w:pPr>
        <w:pStyle w:val="10"/>
        <w:spacing w:line="440" w:lineRule="exac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6.1.7 审核施工承包人的竣工图纸及签证联系单，确定工程量及工程造价，并提交计算底稿及软件资料。</w:t>
      </w:r>
    </w:p>
    <w:p>
      <w:pPr>
        <w:pStyle w:val="10"/>
        <w:spacing w:line="440" w:lineRule="exact"/>
        <w:ind w:firstLine="405"/>
        <w:rPr>
          <w:rFonts w:ascii="宋体" w:hAnsi="宋体" w:eastAsia="宋体"/>
          <w:color w:val="auto"/>
          <w:sz w:val="21"/>
          <w:szCs w:val="21"/>
          <w:highlight w:val="none"/>
        </w:rPr>
      </w:pPr>
      <w:r>
        <w:rPr>
          <w:rFonts w:hint="eastAsia" w:ascii="宋体" w:hAnsi="宋体" w:eastAsia="宋体"/>
          <w:color w:val="auto"/>
          <w:sz w:val="21"/>
          <w:szCs w:val="21"/>
          <w:highlight w:val="none"/>
        </w:rPr>
        <w:t>6.1.8 定期向委托人报送咨询报告、工程量及造价汇总表。</w:t>
      </w:r>
    </w:p>
    <w:p>
      <w:pPr>
        <w:pStyle w:val="10"/>
        <w:spacing w:line="440" w:lineRule="exact"/>
        <w:ind w:firstLine="405"/>
        <w:rPr>
          <w:rFonts w:hint="eastAsia" w:ascii="宋体" w:hAnsi="宋体" w:eastAsia="宋体"/>
          <w:color w:val="auto"/>
          <w:sz w:val="21"/>
          <w:szCs w:val="21"/>
          <w:highlight w:val="none"/>
        </w:rPr>
      </w:pPr>
      <w:r>
        <w:rPr>
          <w:rFonts w:hint="eastAsia" w:ascii="宋体" w:hAnsi="宋体" w:eastAsia="宋体"/>
          <w:color w:val="auto"/>
          <w:sz w:val="21"/>
          <w:szCs w:val="21"/>
          <w:highlight w:val="none"/>
        </w:rPr>
        <w:t>6.1.9 对工程的各工序工程量进行现场检查验收，并按规定进行记录。</w:t>
      </w:r>
    </w:p>
    <w:p>
      <w:pPr>
        <w:pStyle w:val="10"/>
        <w:spacing w:line="440" w:lineRule="exact"/>
        <w:ind w:firstLine="405"/>
        <w:rPr>
          <w:color w:val="auto"/>
          <w:highlight w:val="none"/>
        </w:rPr>
      </w:pPr>
      <w:r>
        <w:rPr>
          <w:rFonts w:hint="eastAsia" w:ascii="宋体" w:hAnsi="宋体" w:eastAsia="宋体"/>
          <w:color w:val="auto"/>
          <w:sz w:val="21"/>
          <w:szCs w:val="21"/>
          <w:highlight w:val="none"/>
        </w:rPr>
        <w:t>6.1.10</w:t>
      </w:r>
      <w:r>
        <w:rPr>
          <w:rFonts w:hint="eastAsia"/>
          <w:color w:val="auto"/>
          <w:highlight w:val="none"/>
        </w:rPr>
        <w:t>相关审核时间</w:t>
      </w:r>
    </w:p>
    <w:p>
      <w:pPr>
        <w:spacing w:line="440" w:lineRule="exact"/>
        <w:ind w:firstLine="420"/>
        <w:rPr>
          <w:rFonts w:ascii="宋体" w:hAnsi="宋体"/>
          <w:color w:val="auto"/>
          <w:szCs w:val="21"/>
          <w:highlight w:val="none"/>
        </w:rPr>
      </w:pPr>
      <w:r>
        <w:rPr>
          <w:rFonts w:hint="eastAsia" w:ascii="宋体" w:hAnsi="宋体"/>
          <w:color w:val="auto"/>
          <w:szCs w:val="21"/>
          <w:highlight w:val="none"/>
        </w:rPr>
        <w:t>（1）工程联系单审</w:t>
      </w:r>
      <w:bookmarkStart w:id="0" w:name="_GoBack"/>
      <w:bookmarkEnd w:id="0"/>
      <w:r>
        <w:rPr>
          <w:rFonts w:hint="eastAsia" w:ascii="宋体" w:hAnsi="宋体"/>
          <w:color w:val="auto"/>
          <w:szCs w:val="21"/>
          <w:highlight w:val="none"/>
        </w:rPr>
        <w:t>核时间要求，对变更金额在30万元及以上项目，原则上受托人应在收到资料起48小时内提出书面审价意见；对变更金额在30万元以下项目和进度款支付，原则上受托人应在收到资料起24小时内提出书面审价意见，对于复杂情况的审价，时间可适当延长，但不能超出以下期限：</w:t>
      </w:r>
    </w:p>
    <w:tbl>
      <w:tblPr>
        <w:tblStyle w:val="18"/>
        <w:tblW w:w="652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序号</w:t>
            </w:r>
          </w:p>
        </w:tc>
        <w:tc>
          <w:tcPr>
            <w:tcW w:w="3260"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送审造价（万元）</w:t>
            </w:r>
          </w:p>
        </w:tc>
        <w:tc>
          <w:tcPr>
            <w:tcW w:w="2410"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服务期限（天）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1</w:t>
            </w:r>
          </w:p>
        </w:tc>
        <w:tc>
          <w:tcPr>
            <w:tcW w:w="3260"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5万元以下</w:t>
            </w:r>
          </w:p>
        </w:tc>
        <w:tc>
          <w:tcPr>
            <w:tcW w:w="2410"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2</w:t>
            </w:r>
          </w:p>
        </w:tc>
        <w:tc>
          <w:tcPr>
            <w:tcW w:w="3260"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5～50万元</w:t>
            </w:r>
          </w:p>
        </w:tc>
        <w:tc>
          <w:tcPr>
            <w:tcW w:w="2410"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3</w:t>
            </w:r>
          </w:p>
        </w:tc>
        <w:tc>
          <w:tcPr>
            <w:tcW w:w="3260"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50～500万元</w:t>
            </w:r>
          </w:p>
        </w:tc>
        <w:tc>
          <w:tcPr>
            <w:tcW w:w="2410"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4</w:t>
            </w:r>
          </w:p>
        </w:tc>
        <w:tc>
          <w:tcPr>
            <w:tcW w:w="3260"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500～1000万元</w:t>
            </w:r>
          </w:p>
        </w:tc>
        <w:tc>
          <w:tcPr>
            <w:tcW w:w="2410"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5</w:t>
            </w:r>
          </w:p>
        </w:tc>
        <w:tc>
          <w:tcPr>
            <w:tcW w:w="3260"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1000万元以上</w:t>
            </w:r>
          </w:p>
        </w:tc>
        <w:tc>
          <w:tcPr>
            <w:tcW w:w="2410"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15</w:t>
            </w:r>
          </w:p>
        </w:tc>
      </w:tr>
    </w:tbl>
    <w:p>
      <w:pPr>
        <w:spacing w:line="440" w:lineRule="exact"/>
        <w:ind w:firstLine="420"/>
        <w:rPr>
          <w:rFonts w:ascii="宋体" w:hAnsi="宋体"/>
          <w:color w:val="auto"/>
          <w:szCs w:val="21"/>
          <w:highlight w:val="none"/>
        </w:rPr>
      </w:pPr>
      <w:r>
        <w:rPr>
          <w:rFonts w:hint="eastAsia" w:ascii="宋体" w:hAnsi="宋体"/>
          <w:color w:val="auto"/>
          <w:szCs w:val="21"/>
          <w:highlight w:val="none"/>
        </w:rPr>
        <w:t>（2）工程进度款审核时间要求</w:t>
      </w:r>
    </w:p>
    <w:tbl>
      <w:tblPr>
        <w:tblStyle w:val="18"/>
        <w:tblW w:w="652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序号</w:t>
            </w:r>
          </w:p>
        </w:tc>
        <w:tc>
          <w:tcPr>
            <w:tcW w:w="3260"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送审造价（万元）</w:t>
            </w:r>
          </w:p>
        </w:tc>
        <w:tc>
          <w:tcPr>
            <w:tcW w:w="2410"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服务期限（天）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1</w:t>
            </w:r>
          </w:p>
        </w:tc>
        <w:tc>
          <w:tcPr>
            <w:tcW w:w="3260"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100万元以下</w:t>
            </w:r>
          </w:p>
        </w:tc>
        <w:tc>
          <w:tcPr>
            <w:tcW w:w="2410"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2</w:t>
            </w:r>
          </w:p>
        </w:tc>
        <w:tc>
          <w:tcPr>
            <w:tcW w:w="3260"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100万元～500万元</w:t>
            </w:r>
          </w:p>
        </w:tc>
        <w:tc>
          <w:tcPr>
            <w:tcW w:w="2410"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3</w:t>
            </w:r>
          </w:p>
        </w:tc>
        <w:tc>
          <w:tcPr>
            <w:tcW w:w="3260"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500万元～1000万元</w:t>
            </w:r>
          </w:p>
        </w:tc>
        <w:tc>
          <w:tcPr>
            <w:tcW w:w="2410"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4</w:t>
            </w:r>
          </w:p>
        </w:tc>
        <w:tc>
          <w:tcPr>
            <w:tcW w:w="3260"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1000万元以上</w:t>
            </w:r>
          </w:p>
        </w:tc>
        <w:tc>
          <w:tcPr>
            <w:tcW w:w="2410"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6</w:t>
            </w:r>
          </w:p>
        </w:tc>
      </w:tr>
    </w:tbl>
    <w:p>
      <w:pPr>
        <w:spacing w:line="440" w:lineRule="exact"/>
        <w:ind w:firstLine="420"/>
        <w:rPr>
          <w:rFonts w:ascii="宋体" w:hAnsi="宋体"/>
          <w:color w:val="auto"/>
          <w:szCs w:val="21"/>
          <w:highlight w:val="none"/>
        </w:rPr>
      </w:pPr>
      <w:r>
        <w:rPr>
          <w:rFonts w:hint="eastAsia" w:ascii="宋体" w:hAnsi="宋体"/>
          <w:color w:val="auto"/>
          <w:szCs w:val="21"/>
          <w:highlight w:val="none"/>
        </w:rPr>
        <w:t>（3）工程结算及跟踪审计初审时间要求</w:t>
      </w:r>
    </w:p>
    <w:tbl>
      <w:tblPr>
        <w:tblStyle w:val="18"/>
        <w:tblW w:w="652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序号</w:t>
            </w:r>
          </w:p>
        </w:tc>
        <w:tc>
          <w:tcPr>
            <w:tcW w:w="3260"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送审造价（万元）</w:t>
            </w:r>
          </w:p>
        </w:tc>
        <w:tc>
          <w:tcPr>
            <w:tcW w:w="2410"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服务期限（天）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1</w:t>
            </w:r>
          </w:p>
        </w:tc>
        <w:tc>
          <w:tcPr>
            <w:tcW w:w="3260"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500万元</w:t>
            </w:r>
          </w:p>
        </w:tc>
        <w:tc>
          <w:tcPr>
            <w:tcW w:w="2410"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51"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2</w:t>
            </w:r>
          </w:p>
        </w:tc>
        <w:tc>
          <w:tcPr>
            <w:tcW w:w="3260"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500万元～2000万元</w:t>
            </w:r>
          </w:p>
        </w:tc>
        <w:tc>
          <w:tcPr>
            <w:tcW w:w="2410"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3</w:t>
            </w:r>
          </w:p>
        </w:tc>
        <w:tc>
          <w:tcPr>
            <w:tcW w:w="3260"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2000万元～5000万元</w:t>
            </w:r>
          </w:p>
        </w:tc>
        <w:tc>
          <w:tcPr>
            <w:tcW w:w="2410"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4</w:t>
            </w:r>
          </w:p>
        </w:tc>
        <w:tc>
          <w:tcPr>
            <w:tcW w:w="3260"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5000万元以上</w:t>
            </w:r>
          </w:p>
        </w:tc>
        <w:tc>
          <w:tcPr>
            <w:tcW w:w="2410"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60</w:t>
            </w:r>
          </w:p>
        </w:tc>
      </w:tr>
    </w:tbl>
    <w:p>
      <w:pPr>
        <w:spacing w:line="440" w:lineRule="exact"/>
        <w:ind w:firstLine="420"/>
        <w:rPr>
          <w:rFonts w:ascii="宋体" w:hAnsi="宋体"/>
          <w:color w:val="auto"/>
          <w:sz w:val="24"/>
          <w:highlight w:val="none"/>
        </w:rPr>
      </w:pPr>
      <w:r>
        <w:rPr>
          <w:rFonts w:hint="eastAsia" w:ascii="宋体" w:hAnsi="宋体"/>
          <w:color w:val="auto"/>
          <w:szCs w:val="21"/>
          <w:highlight w:val="none"/>
        </w:rPr>
        <w:t>（4）合同中未约定具体服务期限以《浙江省建设工程造价咨询质量导则（试行）》中规定的服务期限为参照，具体按委托人要求并双方协商确定。</w:t>
      </w:r>
    </w:p>
    <w:p>
      <w:pPr>
        <w:spacing w:line="440" w:lineRule="exact"/>
        <w:rPr>
          <w:rFonts w:ascii="宋体" w:hAnsi="宋体"/>
          <w:color w:val="auto"/>
          <w:szCs w:val="21"/>
          <w:highlight w:val="none"/>
        </w:rPr>
      </w:pPr>
      <w:r>
        <w:rPr>
          <w:rFonts w:hint="eastAsia" w:ascii="宋体" w:hAnsi="宋体"/>
          <w:color w:val="auto"/>
          <w:szCs w:val="21"/>
          <w:highlight w:val="none"/>
        </w:rPr>
        <w:t>6.1.11咨询班子人员组成须结合本工程实际配备齐全，所配备的主要专业造价咨询服务人员</w:t>
      </w:r>
      <w:r>
        <w:rPr>
          <w:rFonts w:ascii="宋体" w:hAnsi="宋体"/>
          <w:color w:val="auto"/>
          <w:szCs w:val="21"/>
          <w:highlight w:val="none"/>
        </w:rPr>
        <w:t>要求如下：</w:t>
      </w:r>
    </w:p>
    <w:p>
      <w:pPr>
        <w:spacing w:line="440" w:lineRule="exact"/>
        <w:ind w:firstLine="420" w:firstLineChars="200"/>
        <w:rPr>
          <w:color w:val="auto"/>
          <w:szCs w:val="21"/>
          <w:highlight w:val="none"/>
        </w:rPr>
      </w:pPr>
      <w:r>
        <w:rPr>
          <w:rFonts w:hint="eastAsia" w:ascii="宋体" w:hAnsi="宋体"/>
          <w:color w:val="auto"/>
          <w:szCs w:val="21"/>
          <w:highlight w:val="none"/>
        </w:rPr>
        <w:t>（1）</w:t>
      </w:r>
      <w:r>
        <w:rPr>
          <w:color w:val="auto"/>
          <w:szCs w:val="21"/>
          <w:highlight w:val="none"/>
        </w:rPr>
        <w:t>配备人数（除项目负责人外）：土建</w:t>
      </w:r>
      <w:r>
        <w:rPr>
          <w:rFonts w:hint="eastAsia"/>
          <w:color w:val="auto"/>
          <w:szCs w:val="21"/>
          <w:highlight w:val="none"/>
        </w:rPr>
        <w:t>1</w:t>
      </w:r>
      <w:r>
        <w:rPr>
          <w:color w:val="auto"/>
          <w:szCs w:val="21"/>
          <w:highlight w:val="none"/>
        </w:rPr>
        <w:t>名、</w:t>
      </w:r>
      <w:r>
        <w:rPr>
          <w:rFonts w:hint="eastAsia"/>
          <w:color w:val="auto"/>
          <w:szCs w:val="21"/>
          <w:highlight w:val="none"/>
        </w:rPr>
        <w:t>安装2名、市政</w:t>
      </w:r>
      <w:r>
        <w:rPr>
          <w:rFonts w:hint="eastAsia"/>
          <w:color w:val="auto"/>
          <w:kern w:val="0"/>
          <w:szCs w:val="21"/>
          <w:highlight w:val="none"/>
        </w:rPr>
        <w:t>工程</w:t>
      </w:r>
      <w:r>
        <w:rPr>
          <w:rFonts w:hint="eastAsia"/>
          <w:color w:val="auto"/>
          <w:szCs w:val="21"/>
          <w:highlight w:val="none"/>
        </w:rPr>
        <w:t>1名、智能化1名；以上人员要求</w:t>
      </w:r>
      <w:r>
        <w:rPr>
          <w:color w:val="auto"/>
          <w:szCs w:val="21"/>
          <w:highlight w:val="none"/>
        </w:rPr>
        <w:t>从事本专业工作3年（含）以上</w:t>
      </w:r>
    </w:p>
    <w:p>
      <w:pPr>
        <w:spacing w:line="440" w:lineRule="exact"/>
        <w:ind w:firstLine="420" w:firstLineChars="200"/>
        <w:rPr>
          <w:color w:val="auto"/>
          <w:szCs w:val="21"/>
          <w:highlight w:val="none"/>
        </w:rPr>
      </w:pPr>
      <w:r>
        <w:rPr>
          <w:rFonts w:hint="eastAsia" w:ascii="宋体" w:hAnsi="宋体"/>
          <w:color w:val="auto"/>
          <w:szCs w:val="21"/>
          <w:highlight w:val="none"/>
        </w:rPr>
        <w:t>（2）</w:t>
      </w:r>
      <w:r>
        <w:rPr>
          <w:rFonts w:hint="eastAsia"/>
          <w:color w:val="auto"/>
          <w:szCs w:val="21"/>
          <w:highlight w:val="none"/>
        </w:rPr>
        <w:t>各专业负责人</w:t>
      </w:r>
      <w:r>
        <w:rPr>
          <w:rFonts w:hint="eastAsia" w:ascii="宋体" w:hAnsi="宋体"/>
          <w:color w:val="auto"/>
          <w:szCs w:val="21"/>
          <w:highlight w:val="none"/>
        </w:rPr>
        <w:t>必须</w:t>
      </w:r>
      <w:r>
        <w:rPr>
          <w:rFonts w:hint="eastAsia"/>
          <w:color w:val="auto"/>
          <w:szCs w:val="21"/>
          <w:highlight w:val="none"/>
        </w:rPr>
        <w:t>具有国家注册造价师注册证书。</w:t>
      </w:r>
    </w:p>
    <w:p>
      <w:pPr>
        <w:pStyle w:val="10"/>
        <w:spacing w:line="44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6.1.12 咨询项目部内部应配备具有大型公建EPC项目造价咨询服务丰富经验的专家或顾问，对工程全过程造价控制的实施进行专业技术支持和指导。专家或顾问应参与咨询规划、咨询细则的编制，参与各单体建筑物的工程造价控制及咨询。</w:t>
      </w:r>
    </w:p>
    <w:p>
      <w:pPr>
        <w:pStyle w:val="10"/>
        <w:spacing w:line="44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6.1.13 根据设计图纸、施工合同、变更单及相关的招标文件，完成工程量清单及招标控制价编制、与其他编制单位共同完成招标清单及控制价的核对工作，并提交计算底稿及软件资料。</w:t>
      </w:r>
    </w:p>
    <w:p>
      <w:pPr>
        <w:pStyle w:val="10"/>
        <w:spacing w:line="44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6.1.14 做好本工程全过程工程造价控制工作中资料收集、整理、汇编、归档等的工作，确保资料完整。</w:t>
      </w:r>
    </w:p>
    <w:p>
      <w:pPr>
        <w:pStyle w:val="10"/>
        <w:spacing w:line="440" w:lineRule="exact"/>
        <w:ind w:firstLine="480"/>
        <w:rPr>
          <w:rFonts w:ascii="宋体" w:hAnsi="宋体" w:eastAsia="宋体"/>
          <w:color w:val="auto"/>
          <w:sz w:val="21"/>
          <w:szCs w:val="21"/>
          <w:highlight w:val="none"/>
        </w:rPr>
      </w:pPr>
      <w:r>
        <w:rPr>
          <w:rFonts w:hint="eastAsia" w:ascii="宋体" w:hAnsi="宋体" w:eastAsia="宋体"/>
          <w:color w:val="auto"/>
          <w:sz w:val="21"/>
          <w:szCs w:val="21"/>
          <w:highlight w:val="none"/>
        </w:rPr>
        <w:t>6.1.15 严格遵守与本工程有关的法律、法规和规章，保证委托人免于承担由于受托人违反上述法律、法规和规章而引起的任何责任。</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6.1.16本项目为省部级重点实验室建设项目，受托人在履行合同期间及本项目完成后，应对委托人提供的所有资料、审计工作内容具有保密义务，未经委托人事先许可认可，不得对除委托人以外的第三方披露。</w:t>
      </w:r>
    </w:p>
    <w:p>
      <w:pPr>
        <w:spacing w:line="480" w:lineRule="exact"/>
        <w:ind w:firstLine="420" w:firstLineChars="200"/>
        <w:rPr>
          <w:rFonts w:ascii="宋体" w:hAnsi="宋体"/>
          <w:color w:val="auto"/>
          <w:szCs w:val="21"/>
          <w:highlight w:val="none"/>
        </w:rPr>
      </w:pPr>
      <w:r>
        <w:rPr>
          <w:rFonts w:hint="eastAsia" w:ascii="宋体" w:hAnsi="宋体"/>
          <w:color w:val="auto"/>
          <w:szCs w:val="21"/>
          <w:highlight w:val="none"/>
        </w:rPr>
        <w:t>6.1.17根据不同施工阶段的需要，按委托人要求参加有关工程会议，并根据委托人提供的施工单位与监理方之间的有关工程造价的往来资料以及市场信息，及时向委托人提供审计意见，须将所有审计、咨询服务内容作书面记录保存在案，以便委托人查阅。审核由委托人采购的各类招标文件和合同草稿及其它文件，提供咨询意见，并参加招标文件和合同文稿等相关讨论会议。做好材料和设备的市场调查、询价工作，同时做好合同执行检查、合同价款支付审核工作。</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6.1.18</w:t>
      </w:r>
      <w:r>
        <w:rPr>
          <w:rFonts w:ascii="宋体" w:hAnsi="宋体"/>
          <w:color w:val="auto"/>
          <w:szCs w:val="21"/>
          <w:highlight w:val="none"/>
        </w:rPr>
        <w:t>咨询人责任期内,应当履行建设工程造价咨询合同中约定的义务,因咨询人的单方过失造成的经济损失,应当向委托人进行赔偿。</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6.1.19不得接受施工单位提供的折让、佣金或礼物等超越工作条件需要的利益，不得接受贵重礼品，不得参加相关单位的宴请和娱乐活动，严禁工作人员单独与承包方进行有碍独立执业和职业形象的接触。</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6.1.20 办理工程竣工结算审核，提供完整的结算报告及各项费用汇总表。</w:t>
      </w:r>
    </w:p>
    <w:p>
      <w:pPr>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6.2受托人权利</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6.2.1、受托人在跟踪审计过程中，如委托人提供的资料不明确时可向委托人提出书面报告。</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6.2.2、受托人在跟踪审计过程中，有权对第三人提出与本咨询业务有关的问题进行核对或查问。</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6.2.3、受托人在咨询管理过程中，有到工程现场勘察的权利。勘察过程中，应服从甲方相应规章制度，但不得妨碍工程其他单位正常工作的开展，非因甲方原因造成乙方及乙方人员的人身、财产受损的，由乙方自行承担，与甲方无关。</w:t>
      </w:r>
    </w:p>
    <w:p>
      <w:pPr>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6.3项目负责人的责任和权力</w:t>
      </w:r>
    </w:p>
    <w:p>
      <w:pPr>
        <w:pStyle w:val="10"/>
        <w:spacing w:line="440" w:lineRule="exac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6.3.1审批工程造价控制及咨询的方案、审核工程量清单和工程造价的变更，向委托人提出书面意见或建议。</w:t>
      </w:r>
    </w:p>
    <w:p>
      <w:pPr>
        <w:pStyle w:val="10"/>
        <w:spacing w:line="44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6.3.2撤换不能胜任本职工作或行为不端或玩忽职守的本项目部咨询人员。</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6.3.3遵守政府和行业主管部门及委托人有关工程造价的法规、规范、标准和指导规程，执行企业规章制度。</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6.3.4负责项目造价咨询的组织实施、专业间协调和质量管理工作，对项目组成员的执业行为进行管理。</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6.3.5负责办理咨询项目合同的草拟，接收和验核委托人提供的资料。</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6.3.6制定咨询项目实施方案。</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6.3.7动态掌握咨询项目实施状况，负责督促检查各咨询子项和各专业的进度，研究解决存在的问题。</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6.3.8对咨询项目的咨询质量负责，监督专业审核人员/校核人员进行质量校核，负责对项目初步成果进行复核。</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6.3.9编写咨询成果报告及总说明、总目录，确保成果文件格式规范、表述清晰和满足使用需要。</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6.3.10负责咨询报告的送达，办理相关资料归还和移交手续，与招标人结算咨询费。</w:t>
      </w:r>
    </w:p>
    <w:p>
      <w:pPr>
        <w:spacing w:beforeLines="50" w:line="440" w:lineRule="exact"/>
        <w:ind w:firstLine="316" w:firstLineChars="150"/>
        <w:rPr>
          <w:rFonts w:ascii="宋体" w:hAnsi="宋体"/>
          <w:color w:val="auto"/>
          <w:szCs w:val="21"/>
          <w:highlight w:val="none"/>
        </w:rPr>
      </w:pPr>
      <w:r>
        <w:rPr>
          <w:rFonts w:hint="eastAsia" w:ascii="宋体" w:hAnsi="宋体"/>
          <w:b/>
          <w:bCs/>
          <w:color w:val="auto"/>
          <w:szCs w:val="21"/>
          <w:highlight w:val="none"/>
        </w:rPr>
        <w:t>6.4项目部各专业咨询人员的责任和权力</w:t>
      </w:r>
    </w:p>
    <w:p>
      <w:pPr>
        <w:pStyle w:val="10"/>
        <w:spacing w:line="440" w:lineRule="exac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6.4.1参与工程造价控制及咨询的组织设计和咨询方案的编制。</w:t>
      </w:r>
    </w:p>
    <w:p>
      <w:pPr>
        <w:pStyle w:val="10"/>
        <w:spacing w:line="44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6.4.2负责本人专业的工程量和工程造价的变更，提出书面意见，交给本项目负责人。</w:t>
      </w:r>
    </w:p>
    <w:p>
      <w:pPr>
        <w:pStyle w:val="10"/>
        <w:spacing w:line="44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6.4.3依据业务要求，执行控制规划和实施细则，遵守行业标准与原则，对所承担的业务质量和进度负责。</w:t>
      </w:r>
    </w:p>
    <w:p>
      <w:pPr>
        <w:pStyle w:val="10"/>
        <w:spacing w:line="44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6.4.4根据项目实施细则要求，开展本职工作，选用正确的业务数据、计算方法、计算公式、计算程序，做到内容完整、计算准确、结果真实可靠。</w:t>
      </w:r>
    </w:p>
    <w:p>
      <w:pPr>
        <w:pStyle w:val="10"/>
        <w:spacing w:line="44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6.4.5对实施的各项工作进行自控，成果文件经校核后，负责进行修改。</w:t>
      </w:r>
    </w:p>
    <w:p>
      <w:pPr>
        <w:pStyle w:val="10"/>
        <w:spacing w:line="44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6.4.6完成工作内容及时整理，收集齐全咨询资料，交项目负责人或专人办理归档和移交归档手续。</w:t>
      </w:r>
    </w:p>
    <w:p>
      <w:pPr>
        <w:pStyle w:val="10"/>
        <w:spacing w:line="44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6.4.7规范执业行为，遵守职业道德。</w:t>
      </w:r>
    </w:p>
    <w:p>
      <w:pPr>
        <w:spacing w:beforeLines="50" w:line="440" w:lineRule="exact"/>
        <w:ind w:firstLine="316" w:firstLineChars="150"/>
        <w:rPr>
          <w:rFonts w:ascii="宋体" w:hAnsi="宋体"/>
          <w:b/>
          <w:bCs/>
          <w:color w:val="auto"/>
          <w:szCs w:val="21"/>
          <w:highlight w:val="none"/>
        </w:rPr>
      </w:pPr>
      <w:r>
        <w:rPr>
          <w:rFonts w:hint="eastAsia" w:ascii="宋体" w:hAnsi="宋体"/>
          <w:b/>
          <w:bCs/>
          <w:color w:val="auto"/>
          <w:szCs w:val="21"/>
          <w:highlight w:val="none"/>
        </w:rPr>
        <w:t>7咨询费及支付办法</w:t>
      </w:r>
    </w:p>
    <w:p>
      <w:pPr>
        <w:pStyle w:val="10"/>
        <w:spacing w:line="44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7.1本合同全过程造价控制及工程结算审核项目咨询费暂估总价为人民币_____________________元（大写），其中，全过程造价控制部分咨询费为人民币_____________________元（大写），即按浙价服（2009）84号收费标准第10项的</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%计</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工程结算审核（为预招标项目）部分基本费为人民币_____________________元（大写）</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即按</w:t>
      </w:r>
      <w:r>
        <w:rPr>
          <w:rFonts w:hint="eastAsia" w:ascii="宋体" w:hAnsi="宋体" w:eastAsia="宋体"/>
          <w:color w:val="auto"/>
          <w:sz w:val="21"/>
          <w:szCs w:val="21"/>
          <w:highlight w:val="none"/>
          <w:lang w:eastAsia="zh-CN"/>
        </w:rPr>
        <w:t>浙价服（2009）84号收费标准</w:t>
      </w:r>
      <w:r>
        <w:rPr>
          <w:rFonts w:hint="eastAsia" w:ascii="宋体" w:hAnsi="宋体" w:eastAsia="宋体"/>
          <w:color w:val="auto"/>
          <w:sz w:val="21"/>
          <w:szCs w:val="21"/>
          <w:highlight w:val="none"/>
          <w:lang w:val="en-US" w:eastAsia="zh-CN"/>
        </w:rPr>
        <w:t>第8项</w:t>
      </w:r>
      <w:r>
        <w:rPr>
          <w:rFonts w:hint="eastAsia" w:ascii="宋体" w:hAnsi="宋体" w:eastAsia="宋体"/>
          <w:color w:val="auto"/>
          <w:sz w:val="21"/>
          <w:szCs w:val="21"/>
          <w:highlight w:val="none"/>
          <w:lang w:eastAsia="zh-CN"/>
        </w:rPr>
        <w:t>的</w:t>
      </w:r>
      <w:r>
        <w:rPr>
          <w:rFonts w:hint="eastAsia" w:ascii="宋体" w:hAnsi="宋体" w:eastAsia="宋体"/>
          <w:color w:val="auto"/>
          <w:sz w:val="21"/>
          <w:szCs w:val="21"/>
          <w:highlight w:val="none"/>
          <w:u w:val="single"/>
          <w:lang w:eastAsia="zh-CN"/>
        </w:rPr>
        <w:t xml:space="preserve">    </w:t>
      </w:r>
      <w:r>
        <w:rPr>
          <w:rFonts w:hint="eastAsia" w:ascii="宋体" w:hAnsi="宋体" w:eastAsia="宋体"/>
          <w:color w:val="auto"/>
          <w:sz w:val="21"/>
          <w:szCs w:val="21"/>
          <w:highlight w:val="none"/>
          <w:lang w:eastAsia="zh-CN"/>
        </w:rPr>
        <w:t>%计</w:t>
      </w:r>
      <w:r>
        <w:rPr>
          <w:rFonts w:hint="eastAsia" w:ascii="宋体" w:hAnsi="宋体" w:eastAsia="宋体"/>
          <w:color w:val="auto"/>
          <w:sz w:val="21"/>
          <w:szCs w:val="21"/>
          <w:highlight w:val="none"/>
        </w:rPr>
        <w:t>。上述投标报价采用固定费率包干的方式，该费率不随本项目工程量、投资额（包括，但不限于可能发生的概算调整）、工期的变化而调整，投标人一旦中标，不得以任何理由要求调整费率。</w:t>
      </w:r>
    </w:p>
    <w:p>
      <w:pPr>
        <w:pStyle w:val="10"/>
        <w:spacing w:line="44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7.2建安工程造价17833.87万元为暂估，实际结算时的方式为：当竣工结算建安工程造价与暂估建安工程造价17833.87万元相比，增减按投标口径同比例计算。全过程造价控制部分和工程结算审核部分均按此原则办理（如受托人继续承担工程阶段审核工作）。</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7.3全过程造价控制部分咨询费支付方式：委托人按照以下方式分期支付咨询服务费（在每个阶段付款前，委托人对受托人前一阶段工作进行评定及考核，考核评价内容包括且限于本合同条款第2条至第10条，考核评价表见附件二，考核合格支付该阶段咨询费，不合格</w:t>
      </w:r>
      <w:r>
        <w:rPr>
          <w:rFonts w:ascii="宋体" w:hAnsi="宋体"/>
          <w:color w:val="auto"/>
          <w:szCs w:val="21"/>
          <w:highlight w:val="none"/>
        </w:rPr>
        <w:t>处罚按附表二执行</w:t>
      </w:r>
      <w:r>
        <w:rPr>
          <w:rFonts w:hint="eastAsia" w:ascii="宋体" w:hAnsi="宋体"/>
          <w:b/>
          <w:bCs/>
          <w:color w:val="auto"/>
          <w:szCs w:val="21"/>
          <w:highlight w:val="none"/>
        </w:rPr>
        <w:t>。</w:t>
      </w:r>
    </w:p>
    <w:p>
      <w:pPr>
        <w:pStyle w:val="10"/>
        <w:spacing w:line="44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（1）合同签订，业主支付全过程造价控制部分合同金额40%作为预付款；</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（2）主体加固工程完工支付10%，设备安装完成支付20%；</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（3）工程竣工验收合格，完成本阶段服务内容并交付全套竣工资料后</w:t>
      </w:r>
      <w:r>
        <w:rPr>
          <w:rFonts w:ascii="宋体" w:hAnsi="宋体"/>
          <w:color w:val="auto"/>
          <w:szCs w:val="21"/>
          <w:highlight w:val="none"/>
        </w:rPr>
        <w:t>15</w:t>
      </w:r>
      <w:r>
        <w:rPr>
          <w:rFonts w:hint="eastAsia" w:ascii="宋体" w:hAnsi="宋体"/>
          <w:color w:val="auto"/>
          <w:szCs w:val="21"/>
          <w:highlight w:val="none"/>
        </w:rPr>
        <w:t>个工作日内，支付至全过程造价控制咨询费的95</w:t>
      </w:r>
      <w:r>
        <w:rPr>
          <w:rFonts w:ascii="宋体" w:hAnsi="宋体"/>
          <w:color w:val="auto"/>
          <w:szCs w:val="21"/>
          <w:highlight w:val="none"/>
        </w:rPr>
        <w:t>%</w:t>
      </w:r>
      <w:r>
        <w:rPr>
          <w:rFonts w:hint="eastAsia" w:ascii="宋体" w:hAnsi="宋体"/>
          <w:color w:val="auto"/>
          <w:szCs w:val="21"/>
          <w:highlight w:val="none"/>
        </w:rPr>
        <w:t>；</w:t>
      </w:r>
    </w:p>
    <w:p>
      <w:pPr>
        <w:pStyle w:val="10"/>
        <w:spacing w:line="440" w:lineRule="exact"/>
        <w:ind w:firstLine="480"/>
        <w:rPr>
          <w:rFonts w:ascii="宋体" w:hAnsi="宋体" w:eastAsia="宋体"/>
          <w:color w:val="auto"/>
          <w:sz w:val="21"/>
          <w:szCs w:val="21"/>
          <w:highlight w:val="none"/>
        </w:rPr>
      </w:pPr>
      <w:r>
        <w:rPr>
          <w:rFonts w:hint="eastAsia" w:ascii="宋体" w:hAnsi="宋体" w:eastAsia="宋体"/>
          <w:color w:val="auto"/>
          <w:sz w:val="21"/>
          <w:szCs w:val="21"/>
          <w:highlight w:val="none"/>
        </w:rPr>
        <w:t>（4）剩余5%尾款，待工程决算审计完成后15个工作日内，一次性支付剩余全过程造价控制咨询费。</w:t>
      </w:r>
    </w:p>
    <w:p>
      <w:pPr>
        <w:spacing w:line="440" w:lineRule="exact"/>
        <w:ind w:firstLine="420" w:firstLineChars="200"/>
        <w:rPr>
          <w:color w:val="auto"/>
          <w:highlight w:val="none"/>
        </w:rPr>
      </w:pPr>
      <w:r>
        <w:rPr>
          <w:rFonts w:hint="eastAsia" w:ascii="宋体" w:hAnsi="宋体"/>
          <w:color w:val="auto"/>
          <w:szCs w:val="21"/>
          <w:highlight w:val="none"/>
        </w:rPr>
        <w:t>注：每次付款前须凭等额有效发票支付，如委托人同意受托人继续承担工程结算审核项目工作的，该部分付款方式</w:t>
      </w:r>
      <w:r>
        <w:rPr>
          <w:rFonts w:ascii="宋体" w:hAnsi="宋体"/>
          <w:color w:val="auto"/>
          <w:szCs w:val="21"/>
          <w:highlight w:val="none"/>
        </w:rPr>
        <w:t>为：按单个项目支付工程结算审核基本费</w:t>
      </w:r>
      <w:r>
        <w:rPr>
          <w:rFonts w:hint="eastAsia" w:ascii="宋体" w:hAnsi="宋体"/>
          <w:color w:val="auto"/>
          <w:szCs w:val="21"/>
          <w:highlight w:val="none"/>
        </w:rPr>
        <w:t>。</w:t>
      </w:r>
    </w:p>
    <w:p>
      <w:pPr>
        <w:spacing w:beforeLines="50" w:line="440" w:lineRule="exact"/>
        <w:ind w:firstLine="316" w:firstLineChars="150"/>
        <w:rPr>
          <w:rFonts w:ascii="宋体" w:hAnsi="宋体"/>
          <w:b/>
          <w:bCs/>
          <w:color w:val="auto"/>
          <w:szCs w:val="21"/>
          <w:highlight w:val="none"/>
        </w:rPr>
      </w:pPr>
      <w:r>
        <w:rPr>
          <w:rFonts w:hint="eastAsia" w:ascii="宋体" w:hAnsi="宋体"/>
          <w:b/>
          <w:bCs/>
          <w:color w:val="auto"/>
          <w:szCs w:val="21"/>
          <w:highlight w:val="none"/>
        </w:rPr>
        <w:t>8 咨询费的调整</w:t>
      </w:r>
    </w:p>
    <w:p>
      <w:pPr>
        <w:spacing w:line="440" w:lineRule="exact"/>
        <w:ind w:left="480"/>
        <w:rPr>
          <w:rFonts w:ascii="宋体" w:hAnsi="宋体"/>
          <w:color w:val="auto"/>
          <w:szCs w:val="21"/>
          <w:highlight w:val="none"/>
        </w:rPr>
      </w:pPr>
      <w:r>
        <w:rPr>
          <w:rFonts w:hint="eastAsia" w:ascii="宋体" w:hAnsi="宋体"/>
          <w:color w:val="auto"/>
          <w:szCs w:val="21"/>
          <w:highlight w:val="none"/>
        </w:rPr>
        <w:t>咨询费如遇下列情况之一者，可作相应调整：</w:t>
      </w:r>
    </w:p>
    <w:p>
      <w:pPr>
        <w:pStyle w:val="10"/>
        <w:spacing w:line="440" w:lineRule="exact"/>
        <w:ind w:firstLine="480"/>
        <w:rPr>
          <w:rFonts w:ascii="宋体" w:hAnsi="宋体" w:eastAsia="宋体"/>
          <w:color w:val="auto"/>
          <w:sz w:val="21"/>
          <w:szCs w:val="21"/>
          <w:highlight w:val="none"/>
        </w:rPr>
      </w:pPr>
      <w:r>
        <w:rPr>
          <w:rFonts w:hint="eastAsia" w:ascii="宋体" w:hAnsi="宋体" w:eastAsia="宋体"/>
          <w:color w:val="auto"/>
          <w:sz w:val="21"/>
          <w:szCs w:val="21"/>
          <w:highlight w:val="none"/>
        </w:rPr>
        <w:t>8.1应委托人要求，本次招标咨询范围外增加/减少单项或单位工程咨询内容，其咨询费的计算按本条第三款的约定</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予以调整；</w:t>
      </w:r>
    </w:p>
    <w:p>
      <w:pPr>
        <w:pStyle w:val="10"/>
        <w:spacing w:line="440" w:lineRule="exact"/>
        <w:ind w:firstLine="480"/>
        <w:rPr>
          <w:rFonts w:ascii="宋体" w:hAnsi="宋体" w:eastAsia="宋体"/>
          <w:color w:val="auto"/>
          <w:sz w:val="21"/>
          <w:szCs w:val="21"/>
          <w:highlight w:val="none"/>
        </w:rPr>
      </w:pPr>
      <w:r>
        <w:rPr>
          <w:rFonts w:hint="eastAsia" w:ascii="宋体" w:hAnsi="宋体" w:eastAsia="宋体"/>
          <w:color w:val="auto"/>
          <w:sz w:val="21"/>
          <w:szCs w:val="21"/>
          <w:highlight w:val="none"/>
        </w:rPr>
        <w:t>8.2由于在上述的本次招标咨询范围外增加单项或单位工程造价控制及咨询内容所引起的咨询服务期延长不再重复计算费用；</w:t>
      </w:r>
    </w:p>
    <w:p>
      <w:pPr>
        <w:pStyle w:val="10"/>
        <w:spacing w:line="44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8.3建安工程造价17833.87万元为暂估，实际结算时的方式为：当竣工结算建安工程造价与暂估建安工程造价17833.87万元相比，增减按投标口径同比例计算咨询服务费。</w:t>
      </w:r>
    </w:p>
    <w:p>
      <w:pPr>
        <w:spacing w:line="440" w:lineRule="exact"/>
        <w:ind w:firstLine="542" w:firstLineChars="257"/>
        <w:rPr>
          <w:rFonts w:ascii="宋体" w:hAnsi="宋体"/>
          <w:b/>
          <w:bCs/>
          <w:color w:val="auto"/>
          <w:szCs w:val="21"/>
          <w:highlight w:val="none"/>
        </w:rPr>
      </w:pPr>
      <w:r>
        <w:rPr>
          <w:rFonts w:hint="eastAsia" w:ascii="宋体" w:hAnsi="宋体"/>
          <w:b/>
          <w:bCs/>
          <w:color w:val="auto"/>
          <w:szCs w:val="21"/>
          <w:highlight w:val="none"/>
        </w:rPr>
        <w:t>9奖罚</w:t>
      </w:r>
    </w:p>
    <w:p>
      <w:pPr>
        <w:pStyle w:val="10"/>
        <w:spacing w:line="440" w:lineRule="exac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9.1如因受托人未尽到工程造价控制及咨询责任等原因，使工程造价控制出现以下几种情况时，受托人应承担相应的赔偿责任</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（1）违反《建设工程工程量清单计价规范》规定的；</w:t>
      </w:r>
    </w:p>
    <w:p>
      <w:pPr>
        <w:spacing w:line="440" w:lineRule="exact"/>
        <w:rPr>
          <w:rFonts w:ascii="宋体" w:hAnsi="宋体"/>
          <w:color w:val="auto"/>
          <w:szCs w:val="21"/>
          <w:highlight w:val="none"/>
        </w:rPr>
      </w:pPr>
      <w:r>
        <w:rPr>
          <w:rFonts w:hint="eastAsia" w:ascii="宋体" w:hAnsi="宋体"/>
          <w:color w:val="auto"/>
          <w:szCs w:val="21"/>
          <w:highlight w:val="none"/>
        </w:rPr>
        <w:t xml:space="preserve">    （2）违反省、市建设行政主管部门有关工程计价规定的；</w:t>
      </w:r>
    </w:p>
    <w:p>
      <w:pPr>
        <w:spacing w:line="440" w:lineRule="exact"/>
        <w:rPr>
          <w:rFonts w:ascii="宋体" w:hAnsi="宋体"/>
          <w:color w:val="auto"/>
          <w:szCs w:val="21"/>
          <w:highlight w:val="none"/>
        </w:rPr>
      </w:pPr>
      <w:r>
        <w:rPr>
          <w:rFonts w:hint="eastAsia" w:ascii="宋体" w:hAnsi="宋体"/>
          <w:color w:val="auto"/>
          <w:szCs w:val="21"/>
          <w:highlight w:val="none"/>
        </w:rPr>
        <w:t xml:space="preserve">    （3）超出本身业务范围的；</w:t>
      </w:r>
    </w:p>
    <w:p>
      <w:pPr>
        <w:spacing w:line="440" w:lineRule="exact"/>
        <w:rPr>
          <w:rFonts w:ascii="宋体" w:hAnsi="宋体"/>
          <w:color w:val="auto"/>
          <w:szCs w:val="21"/>
          <w:highlight w:val="none"/>
        </w:rPr>
      </w:pPr>
      <w:r>
        <w:rPr>
          <w:rFonts w:hint="eastAsia" w:ascii="宋体" w:hAnsi="宋体"/>
          <w:color w:val="auto"/>
          <w:szCs w:val="21"/>
          <w:highlight w:val="none"/>
        </w:rPr>
        <w:t xml:space="preserve">    （4）综合单价组价明显不符合工程实际施工方法、技术措施的；</w:t>
      </w:r>
    </w:p>
    <w:p>
      <w:pPr>
        <w:spacing w:line="440" w:lineRule="exact"/>
        <w:rPr>
          <w:rFonts w:ascii="宋体" w:hAnsi="宋体"/>
          <w:b/>
          <w:color w:val="auto"/>
          <w:szCs w:val="21"/>
          <w:highlight w:val="none"/>
          <w:u w:val="single"/>
        </w:rPr>
      </w:pPr>
      <w:r>
        <w:rPr>
          <w:rFonts w:hint="eastAsia" w:ascii="宋体" w:hAnsi="宋体"/>
          <w:color w:val="auto"/>
          <w:szCs w:val="21"/>
          <w:highlight w:val="none"/>
        </w:rPr>
        <w:t xml:space="preserve">    </w:t>
      </w:r>
      <w:r>
        <w:rPr>
          <w:rFonts w:hint="eastAsia" w:ascii="宋体" w:hAnsi="宋体"/>
          <w:b/>
          <w:color w:val="auto"/>
          <w:szCs w:val="21"/>
          <w:highlight w:val="none"/>
          <w:u w:val="single"/>
        </w:rPr>
        <w:t>（5）清单出现重大偏差的：</w:t>
      </w:r>
    </w:p>
    <w:p>
      <w:pPr>
        <w:spacing w:line="440" w:lineRule="exact"/>
        <w:ind w:firstLine="538" w:firstLineChars="255"/>
        <w:rPr>
          <w:rFonts w:ascii="宋体" w:hAnsi="宋体"/>
          <w:b/>
          <w:color w:val="auto"/>
          <w:szCs w:val="21"/>
          <w:highlight w:val="none"/>
          <w:u w:val="single"/>
        </w:rPr>
      </w:pPr>
      <w:r>
        <w:rPr>
          <w:rFonts w:hint="eastAsia" w:ascii="宋体" w:hAnsi="宋体"/>
          <w:b/>
          <w:color w:val="auto"/>
          <w:szCs w:val="21"/>
          <w:highlight w:val="none"/>
          <w:u w:val="single"/>
        </w:rPr>
        <w:t>①漏项且合价超过原中标价分部分项工程量清单计价合计的1％；</w:t>
      </w:r>
    </w:p>
    <w:p>
      <w:pPr>
        <w:spacing w:line="440" w:lineRule="exact"/>
        <w:ind w:firstLine="538" w:firstLineChars="255"/>
        <w:rPr>
          <w:rFonts w:ascii="宋体" w:hAnsi="宋体"/>
          <w:color w:val="auto"/>
          <w:szCs w:val="21"/>
          <w:highlight w:val="none"/>
        </w:rPr>
      </w:pPr>
      <w:r>
        <w:rPr>
          <w:rFonts w:hint="eastAsia" w:ascii="宋体" w:hAnsi="宋体"/>
          <w:b/>
          <w:color w:val="auto"/>
          <w:szCs w:val="21"/>
          <w:highlight w:val="none"/>
          <w:u w:val="single"/>
        </w:rPr>
        <w:t>②单项工程量误差超过±5％的；</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（6）进度款工程量不按规定时间计算工程量的、工程量计算误差超过±3%的；</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（7）工程变更单计算误差超过±3％的。</w:t>
      </w:r>
    </w:p>
    <w:p>
      <w:pPr>
        <w:pStyle w:val="10"/>
        <w:spacing w:line="44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9.2未按约定时间或者委托人通知的时间提交造价咨询成果，每超过一天处罚1000元。逾期超过【10】天的，委托人有权提前解除本合同，并罚没全部履约保证金，给委托人造成损失的，受托人还应赔偿全部损失。</w:t>
      </w:r>
    </w:p>
    <w:p>
      <w:pPr>
        <w:pStyle w:val="10"/>
        <w:spacing w:line="44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9.3</w:t>
      </w:r>
      <w:r>
        <w:rPr>
          <w:rFonts w:hint="eastAsia" w:ascii="宋体" w:hAnsi="宋体" w:eastAsia="宋体" w:cs="宋体"/>
          <w:color w:val="auto"/>
          <w:kern w:val="0"/>
          <w:sz w:val="21"/>
          <w:szCs w:val="21"/>
          <w:highlight w:val="none"/>
        </w:rPr>
        <w:t>项目负责人及各专业咨询人员根据项目情况，随叫随到。</w:t>
      </w:r>
      <w:r>
        <w:rPr>
          <w:rFonts w:hint="eastAsia" w:ascii="宋体" w:hAnsi="宋体" w:eastAsia="宋体"/>
          <w:color w:val="auto"/>
          <w:sz w:val="21"/>
          <w:szCs w:val="21"/>
          <w:highlight w:val="none"/>
        </w:rPr>
        <w:t>项目负责人未按承诺到位，每次处罚2000元，其他咨询人员未按承诺到位，每次处罚1000元，以委托人考核为依据。</w:t>
      </w:r>
    </w:p>
    <w:p>
      <w:pPr>
        <w:pStyle w:val="10"/>
        <w:spacing w:line="44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9.4 在合同执行过程中，委托人可要求受托人更换不称职的人员，但受托人未经委托人事先许可，不得随意更换合同中明确的造价咨询任务的人员，否则，受托人每更换一人次，应向委托人支付</w:t>
      </w:r>
      <w:r>
        <w:rPr>
          <w:rFonts w:ascii="宋体" w:hAnsi="宋体" w:eastAsia="宋体"/>
          <w:color w:val="auto"/>
          <w:sz w:val="21"/>
          <w:szCs w:val="21"/>
          <w:highlight w:val="none"/>
        </w:rPr>
        <w:t>5000</w:t>
      </w:r>
      <w:r>
        <w:rPr>
          <w:rFonts w:hint="eastAsia" w:ascii="宋体" w:hAnsi="宋体" w:eastAsia="宋体"/>
          <w:color w:val="auto"/>
          <w:sz w:val="21"/>
          <w:szCs w:val="21"/>
          <w:highlight w:val="none"/>
        </w:rPr>
        <w:t>元违约金。</w:t>
      </w:r>
    </w:p>
    <w:p>
      <w:pPr>
        <w:spacing w:beforeLines="50" w:line="440" w:lineRule="exact"/>
        <w:ind w:firstLine="316" w:firstLineChars="150"/>
        <w:rPr>
          <w:rFonts w:ascii="宋体" w:hAnsi="宋体"/>
          <w:b/>
          <w:bCs/>
          <w:color w:val="auto"/>
          <w:szCs w:val="21"/>
          <w:highlight w:val="none"/>
        </w:rPr>
      </w:pPr>
      <w:r>
        <w:rPr>
          <w:rFonts w:hint="eastAsia" w:ascii="宋体" w:hAnsi="宋体"/>
          <w:b/>
          <w:bCs/>
          <w:color w:val="auto"/>
          <w:szCs w:val="21"/>
          <w:highlight w:val="none"/>
        </w:rPr>
        <w:t>10违约责任</w:t>
      </w:r>
    </w:p>
    <w:p>
      <w:pPr>
        <w:spacing w:beforeLines="50" w:line="440" w:lineRule="exact"/>
        <w:ind w:firstLine="420" w:firstLineChars="200"/>
        <w:rPr>
          <w:rFonts w:ascii="宋体" w:hAnsi="宋体"/>
          <w:b/>
          <w:bCs/>
          <w:color w:val="auto"/>
          <w:szCs w:val="21"/>
          <w:highlight w:val="none"/>
        </w:rPr>
      </w:pPr>
      <w:r>
        <w:rPr>
          <w:rFonts w:hint="eastAsia" w:ascii="宋体" w:hAnsi="宋体"/>
          <w:color w:val="auto"/>
          <w:szCs w:val="21"/>
          <w:highlight w:val="none"/>
        </w:rPr>
        <w:t>10.1在合同签订后7日内向委托人递交合同金额2.5%履约保证金。工程竣工验收后30天内，无违约行为，一次性退还（不计息）。</w:t>
      </w:r>
    </w:p>
    <w:p>
      <w:pPr>
        <w:pStyle w:val="10"/>
        <w:spacing w:line="44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10.2受托人如有下列情况之一者，委托人有权单方解除合同并罚没全部履约保证金，给委托人造成损失的，受托人还应赔偿全部损失：</w:t>
      </w:r>
    </w:p>
    <w:p>
      <w:pPr>
        <w:pStyle w:val="10"/>
        <w:spacing w:line="44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（1）收受施工、材料设备供应等单位的财物与请吃、旅游等形式的不当利益；</w:t>
      </w:r>
    </w:p>
    <w:p>
      <w:pPr>
        <w:pStyle w:val="10"/>
        <w:spacing w:line="440" w:lineRule="exact"/>
        <w:ind w:firstLine="480"/>
        <w:rPr>
          <w:rFonts w:ascii="宋体" w:hAnsi="宋体" w:eastAsia="宋体"/>
          <w:color w:val="auto"/>
          <w:sz w:val="21"/>
          <w:szCs w:val="21"/>
          <w:highlight w:val="none"/>
        </w:rPr>
      </w:pPr>
      <w:r>
        <w:rPr>
          <w:rFonts w:hint="eastAsia" w:ascii="宋体" w:hAnsi="宋体" w:eastAsia="宋体"/>
          <w:color w:val="auto"/>
          <w:sz w:val="21"/>
          <w:szCs w:val="21"/>
          <w:highlight w:val="none"/>
        </w:rPr>
        <w:t>（2）未遵守保密条款；</w:t>
      </w:r>
    </w:p>
    <w:p>
      <w:pPr>
        <w:pStyle w:val="10"/>
        <w:spacing w:line="440" w:lineRule="exact"/>
        <w:ind w:firstLine="480"/>
        <w:rPr>
          <w:rFonts w:ascii="宋体" w:hAnsi="宋体" w:eastAsia="宋体"/>
          <w:color w:val="auto"/>
          <w:sz w:val="21"/>
          <w:szCs w:val="21"/>
          <w:highlight w:val="none"/>
        </w:rPr>
      </w:pPr>
      <w:r>
        <w:rPr>
          <w:rFonts w:hint="eastAsia" w:ascii="宋体" w:hAnsi="宋体" w:eastAsia="宋体"/>
          <w:color w:val="auto"/>
          <w:sz w:val="21"/>
          <w:szCs w:val="21"/>
          <w:highlight w:val="none"/>
        </w:rPr>
        <w:t>（3）擅自转让合同约定的权利和义务；</w:t>
      </w:r>
    </w:p>
    <w:p>
      <w:pPr>
        <w:pStyle w:val="10"/>
        <w:spacing w:line="440" w:lineRule="exact"/>
        <w:ind w:firstLine="480"/>
        <w:rPr>
          <w:rFonts w:ascii="宋体" w:hAnsi="宋体" w:eastAsia="宋体"/>
          <w:color w:val="auto"/>
          <w:sz w:val="21"/>
          <w:szCs w:val="21"/>
          <w:highlight w:val="none"/>
        </w:rPr>
      </w:pPr>
      <w:r>
        <w:rPr>
          <w:rFonts w:hint="eastAsia" w:ascii="宋体" w:hAnsi="宋体" w:eastAsia="宋体"/>
          <w:color w:val="auto"/>
          <w:sz w:val="21"/>
          <w:szCs w:val="21"/>
          <w:highlight w:val="none"/>
        </w:rPr>
        <w:t>（4）参与可能与委托人利益相冲突的任何活动；</w:t>
      </w:r>
    </w:p>
    <w:p>
      <w:pPr>
        <w:pStyle w:val="10"/>
        <w:spacing w:line="440" w:lineRule="exact"/>
        <w:ind w:firstLine="480"/>
        <w:rPr>
          <w:rFonts w:ascii="宋体" w:hAnsi="宋体" w:eastAsia="宋体"/>
          <w:color w:val="auto"/>
          <w:sz w:val="21"/>
          <w:szCs w:val="21"/>
          <w:highlight w:val="none"/>
        </w:rPr>
      </w:pPr>
      <w:r>
        <w:rPr>
          <w:rFonts w:hint="eastAsia" w:ascii="宋体" w:hAnsi="宋体" w:eastAsia="宋体"/>
          <w:color w:val="auto"/>
          <w:sz w:val="21"/>
          <w:szCs w:val="21"/>
          <w:highlight w:val="none"/>
        </w:rPr>
        <w:t>（5）应委托人要求更换的不称职审计人员的人数超过（2）人次；</w:t>
      </w:r>
    </w:p>
    <w:p>
      <w:pPr>
        <w:pStyle w:val="10"/>
        <w:spacing w:line="440" w:lineRule="exact"/>
        <w:ind w:firstLine="480"/>
        <w:rPr>
          <w:rFonts w:ascii="宋体" w:hAnsi="宋体" w:eastAsia="宋体"/>
          <w:color w:val="auto"/>
          <w:sz w:val="21"/>
          <w:szCs w:val="21"/>
          <w:highlight w:val="none"/>
        </w:rPr>
      </w:pPr>
      <w:r>
        <w:rPr>
          <w:rFonts w:hint="eastAsia" w:ascii="宋体" w:hAnsi="宋体" w:eastAsia="宋体"/>
          <w:color w:val="auto"/>
          <w:sz w:val="21"/>
          <w:szCs w:val="21"/>
          <w:highlight w:val="none"/>
        </w:rPr>
        <w:t>（6）未按投标承诺执行并完成审计业务。</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10.3受托人人员应按时参加而未参加有关工程例会或专题会议，并由此造成工作流程滞缓、延误工程进展或造成工作脱节的，将按合同价的（0.5）％向委托人支付违约金。</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10.4委托人不及时向受托人提供审计必须的工程资料，造成不能按时进行审计的，本合同期限相应顺延，无其他违约责任。委托人不按合同约定向受托人支付服务费的，每延期一天，按应付而未付金额的万分之0.1向受托人支付违约金。</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10.5未经委托人同意，受托人将本合同约定的职责与义务擅自部分或全部委托第三方履行，委托人有权单方解除本合同，且受托人应承担项目咨询费5</w:t>
      </w:r>
      <w:r>
        <w:rPr>
          <w:rFonts w:ascii="宋体" w:hAnsi="宋体"/>
          <w:color w:val="auto"/>
          <w:szCs w:val="21"/>
          <w:highlight w:val="none"/>
        </w:rPr>
        <w:t>%</w:t>
      </w:r>
      <w:r>
        <w:rPr>
          <w:rFonts w:hint="eastAsia" w:ascii="宋体" w:hAnsi="宋体"/>
          <w:color w:val="auto"/>
          <w:szCs w:val="21"/>
          <w:highlight w:val="none"/>
        </w:rPr>
        <w:t>的违约金。该违约金不足以弥补委托人损失的，委托人有权要求受托人予以赔偿。</w:t>
      </w:r>
    </w:p>
    <w:p>
      <w:pPr>
        <w:pStyle w:val="10"/>
        <w:spacing w:line="44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10.6 任何一方未按合同履行义务，经双方协商未果，可要求有关主管部门调解。如其中一方不愿调解或调解不成时，可按以下第</w:t>
      </w:r>
      <w:r>
        <w:rPr>
          <w:rFonts w:hint="eastAsia" w:ascii="宋体" w:hAnsi="宋体" w:eastAsia="宋体"/>
          <w:color w:val="auto"/>
          <w:sz w:val="21"/>
          <w:szCs w:val="21"/>
          <w:highlight w:val="none"/>
          <w:u w:val="single"/>
        </w:rPr>
        <w:t xml:space="preserve"> （2） </w:t>
      </w:r>
      <w:r>
        <w:rPr>
          <w:rFonts w:hint="eastAsia" w:ascii="宋体" w:hAnsi="宋体" w:eastAsia="宋体"/>
          <w:color w:val="auto"/>
          <w:sz w:val="21"/>
          <w:szCs w:val="21"/>
          <w:highlight w:val="none"/>
        </w:rPr>
        <w:t>种方式解决争议（签订合同时商定）。</w:t>
      </w:r>
    </w:p>
    <w:p>
      <w:pPr>
        <w:spacing w:line="440" w:lineRule="exact"/>
        <w:ind w:left="-2" w:leftChars="-1" w:firstLine="420" w:firstLineChars="200"/>
        <w:rPr>
          <w:rFonts w:ascii="宋体" w:hAnsi="宋体"/>
          <w:color w:val="auto"/>
          <w:szCs w:val="21"/>
          <w:highlight w:val="none"/>
        </w:rPr>
      </w:pPr>
      <w:r>
        <w:rPr>
          <w:rFonts w:hint="eastAsia" w:ascii="宋体" w:hAnsi="宋体"/>
          <w:color w:val="auto"/>
          <w:szCs w:val="21"/>
          <w:highlight w:val="none"/>
        </w:rPr>
        <w:t>（1）提交杭州仲裁委员会仲裁，按照申请仲裁时该会现行有效的仲裁规则进行仲裁，仲裁裁决是终局的，对双方均有约束力。</w:t>
      </w:r>
    </w:p>
    <w:p>
      <w:pPr>
        <w:tabs>
          <w:tab w:val="left" w:pos="1425"/>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（2）依法向人民法院起诉，并约定向委托人所在地法院起诉。</w:t>
      </w:r>
    </w:p>
    <w:p>
      <w:pPr>
        <w:spacing w:beforeLines="50" w:line="440" w:lineRule="exact"/>
        <w:ind w:firstLine="420" w:firstLineChars="200"/>
        <w:rPr>
          <w:rFonts w:ascii="宋体" w:hAnsi="宋体"/>
          <w:b/>
          <w:bCs/>
          <w:color w:val="auto"/>
          <w:szCs w:val="21"/>
          <w:highlight w:val="none"/>
        </w:rPr>
      </w:pPr>
      <w:r>
        <w:rPr>
          <w:rFonts w:hint="eastAsia" w:ascii="宋体" w:hAnsi="宋体"/>
          <w:color w:val="auto"/>
          <w:szCs w:val="21"/>
          <w:highlight w:val="none"/>
        </w:rPr>
        <w:t>10.7任何应由受托人承担的违约金、赔偿金等款项，委托人均有权从应付受托人的款项或者履约保证金中直接扣除。</w:t>
      </w:r>
    </w:p>
    <w:p>
      <w:pPr>
        <w:spacing w:beforeLines="50" w:line="440" w:lineRule="exact"/>
        <w:ind w:firstLine="316" w:firstLineChars="150"/>
        <w:rPr>
          <w:rFonts w:ascii="宋体" w:hAnsi="宋体"/>
          <w:b/>
          <w:bCs/>
          <w:color w:val="auto"/>
          <w:szCs w:val="21"/>
          <w:highlight w:val="none"/>
        </w:rPr>
      </w:pPr>
      <w:r>
        <w:rPr>
          <w:rFonts w:hint="eastAsia" w:ascii="宋体" w:hAnsi="宋体"/>
          <w:b/>
          <w:bCs/>
          <w:color w:val="auto"/>
          <w:szCs w:val="21"/>
          <w:highlight w:val="none"/>
        </w:rPr>
        <w:t>11 合同生效与终止</w:t>
      </w:r>
    </w:p>
    <w:p>
      <w:pPr>
        <w:pStyle w:val="10"/>
        <w:spacing w:line="440" w:lineRule="exac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11.1本合同经双方加盖单位印章和法定代表人或其授权代表签字（盖章）且受托人支付了约定的履约保证金后生效。</w:t>
      </w:r>
    </w:p>
    <w:p>
      <w:pPr>
        <w:pStyle w:val="10"/>
        <w:spacing w:line="44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11.2 工程竣工验收归档后，完成全部工程造价控制及咨询业务结清咨询费后失效。</w:t>
      </w:r>
    </w:p>
    <w:p>
      <w:pPr>
        <w:spacing w:beforeLines="50" w:line="440" w:lineRule="exact"/>
        <w:ind w:firstLine="316" w:firstLineChars="150"/>
        <w:rPr>
          <w:rFonts w:ascii="宋体" w:hAnsi="宋体"/>
          <w:b/>
          <w:bCs/>
          <w:color w:val="auto"/>
          <w:szCs w:val="21"/>
          <w:highlight w:val="none"/>
        </w:rPr>
      </w:pPr>
      <w:r>
        <w:rPr>
          <w:rFonts w:hint="eastAsia" w:ascii="宋体" w:hAnsi="宋体"/>
          <w:b/>
          <w:bCs/>
          <w:color w:val="auto"/>
          <w:szCs w:val="21"/>
          <w:highlight w:val="none"/>
        </w:rPr>
        <w:t>12 组成合同文件的优先顺序</w:t>
      </w:r>
    </w:p>
    <w:p>
      <w:pPr>
        <w:pStyle w:val="10"/>
        <w:spacing w:line="440" w:lineRule="exac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组成合同的各项文件应相互解释，互为说明。除合同另有规定外，其优先顺序如下。</w:t>
      </w:r>
    </w:p>
    <w:p>
      <w:pPr>
        <w:spacing w:line="440" w:lineRule="exact"/>
        <w:ind w:left="480"/>
        <w:rPr>
          <w:rFonts w:ascii="宋体" w:hAnsi="宋体"/>
          <w:color w:val="auto"/>
          <w:szCs w:val="21"/>
          <w:highlight w:val="none"/>
        </w:rPr>
      </w:pPr>
      <w:r>
        <w:rPr>
          <w:rFonts w:hint="eastAsia" w:ascii="宋体" w:hAnsi="宋体"/>
          <w:color w:val="auto"/>
          <w:szCs w:val="21"/>
          <w:highlight w:val="none"/>
        </w:rPr>
        <w:t>（1）合同协议书及补充协议书；</w:t>
      </w:r>
    </w:p>
    <w:p>
      <w:pPr>
        <w:spacing w:line="440" w:lineRule="exact"/>
        <w:ind w:left="480"/>
        <w:rPr>
          <w:rFonts w:ascii="宋体" w:hAnsi="宋体"/>
          <w:color w:val="auto"/>
          <w:szCs w:val="21"/>
          <w:highlight w:val="none"/>
        </w:rPr>
      </w:pPr>
      <w:r>
        <w:rPr>
          <w:rFonts w:hint="eastAsia" w:ascii="宋体" w:hAnsi="宋体"/>
          <w:color w:val="auto"/>
          <w:szCs w:val="21"/>
          <w:highlight w:val="none"/>
        </w:rPr>
        <w:t>（2）中标（成交）通知书；</w:t>
      </w:r>
    </w:p>
    <w:p>
      <w:pPr>
        <w:spacing w:line="440" w:lineRule="exact"/>
        <w:ind w:left="480"/>
        <w:rPr>
          <w:rFonts w:ascii="宋体" w:hAnsi="宋体"/>
          <w:color w:val="auto"/>
          <w:szCs w:val="21"/>
          <w:highlight w:val="none"/>
        </w:rPr>
      </w:pPr>
      <w:r>
        <w:rPr>
          <w:rFonts w:hint="eastAsia" w:ascii="宋体" w:hAnsi="宋体"/>
          <w:color w:val="auto"/>
          <w:szCs w:val="21"/>
          <w:highlight w:val="none"/>
        </w:rPr>
        <w:t>（3）询标纪要；</w:t>
      </w:r>
    </w:p>
    <w:p>
      <w:pPr>
        <w:spacing w:line="440" w:lineRule="exact"/>
        <w:ind w:left="480"/>
        <w:rPr>
          <w:rFonts w:ascii="宋体" w:hAnsi="宋体"/>
          <w:color w:val="auto"/>
          <w:szCs w:val="21"/>
          <w:highlight w:val="none"/>
        </w:rPr>
      </w:pPr>
      <w:r>
        <w:rPr>
          <w:rFonts w:hint="eastAsia" w:ascii="宋体" w:hAnsi="宋体"/>
          <w:color w:val="auto"/>
          <w:szCs w:val="21"/>
          <w:highlight w:val="none"/>
        </w:rPr>
        <w:t>（4）投标文件及附件；</w:t>
      </w:r>
    </w:p>
    <w:p>
      <w:pPr>
        <w:spacing w:line="440" w:lineRule="exact"/>
        <w:ind w:left="480"/>
        <w:rPr>
          <w:rFonts w:ascii="宋体" w:hAnsi="宋体"/>
          <w:color w:val="auto"/>
          <w:szCs w:val="21"/>
          <w:highlight w:val="none"/>
        </w:rPr>
      </w:pPr>
      <w:r>
        <w:rPr>
          <w:rFonts w:hint="eastAsia" w:ascii="宋体" w:hAnsi="宋体"/>
          <w:color w:val="auto"/>
          <w:szCs w:val="21"/>
          <w:highlight w:val="none"/>
        </w:rPr>
        <w:t>（5）招标文件及补充文件；</w:t>
      </w:r>
    </w:p>
    <w:p>
      <w:pPr>
        <w:spacing w:line="440" w:lineRule="exact"/>
        <w:ind w:left="480"/>
        <w:rPr>
          <w:rFonts w:ascii="宋体" w:hAnsi="宋体"/>
          <w:color w:val="auto"/>
          <w:szCs w:val="21"/>
          <w:highlight w:val="none"/>
        </w:rPr>
      </w:pPr>
      <w:r>
        <w:rPr>
          <w:rFonts w:hint="eastAsia" w:ascii="宋体" w:hAnsi="宋体"/>
          <w:color w:val="auto"/>
          <w:szCs w:val="21"/>
          <w:highlight w:val="none"/>
        </w:rPr>
        <w:t>（6）图纸、资料；</w:t>
      </w:r>
    </w:p>
    <w:p>
      <w:pPr>
        <w:spacing w:line="440" w:lineRule="exact"/>
        <w:ind w:left="480"/>
        <w:rPr>
          <w:rFonts w:ascii="宋体" w:hAnsi="宋体"/>
          <w:color w:val="auto"/>
          <w:szCs w:val="21"/>
          <w:highlight w:val="none"/>
        </w:rPr>
      </w:pPr>
      <w:r>
        <w:rPr>
          <w:rFonts w:hint="eastAsia" w:ascii="宋体" w:hAnsi="宋体"/>
          <w:color w:val="auto"/>
          <w:szCs w:val="21"/>
          <w:highlight w:val="none"/>
        </w:rPr>
        <w:t>（7）标准、规范及有关技术文件</w:t>
      </w:r>
    </w:p>
    <w:p>
      <w:pPr>
        <w:spacing w:line="440" w:lineRule="exact"/>
        <w:ind w:left="480"/>
        <w:rPr>
          <w:rFonts w:ascii="宋体" w:hAnsi="宋体"/>
          <w:color w:val="auto"/>
          <w:szCs w:val="21"/>
          <w:highlight w:val="none"/>
        </w:rPr>
      </w:pPr>
      <w:r>
        <w:rPr>
          <w:rFonts w:hint="eastAsia" w:ascii="宋体" w:hAnsi="宋体"/>
          <w:color w:val="auto"/>
          <w:szCs w:val="21"/>
          <w:highlight w:val="none"/>
        </w:rPr>
        <w:t>（8）其它。</w:t>
      </w:r>
    </w:p>
    <w:p>
      <w:pPr>
        <w:spacing w:beforeLines="50" w:line="440" w:lineRule="exact"/>
        <w:ind w:firstLine="316" w:firstLineChars="150"/>
        <w:rPr>
          <w:rFonts w:ascii="宋体" w:hAnsi="宋体"/>
          <w:b/>
          <w:bCs/>
          <w:color w:val="auto"/>
          <w:szCs w:val="21"/>
          <w:highlight w:val="none"/>
        </w:rPr>
      </w:pPr>
      <w:r>
        <w:rPr>
          <w:rFonts w:hint="eastAsia" w:ascii="宋体" w:hAnsi="宋体"/>
          <w:b/>
          <w:bCs/>
          <w:color w:val="auto"/>
          <w:szCs w:val="21"/>
          <w:highlight w:val="none"/>
        </w:rPr>
        <w:t>13 其它</w:t>
      </w:r>
    </w:p>
    <w:p>
      <w:pPr>
        <w:pStyle w:val="10"/>
        <w:spacing w:line="44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13.1 本合同未尽事宜双方应本着友好协商的精神，根据国家的有关法律、法规、规定和工程实际对合同条款进行补充或修改。</w:t>
      </w:r>
    </w:p>
    <w:p>
      <w:pPr>
        <w:pStyle w:val="10"/>
        <w:spacing w:line="44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13.2 经补充或修改后的合同条款所形成的合同补充协议书是合同的组成部分，对委托人和受托人双方具有约束力。</w:t>
      </w:r>
    </w:p>
    <w:p>
      <w:pPr>
        <w:pStyle w:val="10"/>
        <w:spacing w:line="44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13.3鉴于本项目结算审核阶段工作为预招标内容，如委托人对受托人在全过程造价咨询阶段工作满意的，可以按预中标费率及所计算的金额再行签定工程结算审核阶段的咨询合同，如委托人对受托人全过程造价咨询阶段工作不满意的，委托人将书面通知受托人不再承担工程结算阶段任务，受托人承诺无条件退出并配合后续结算审核单位做好相关工作。</w:t>
      </w:r>
    </w:p>
    <w:p>
      <w:pPr>
        <w:pStyle w:val="10"/>
        <w:spacing w:line="44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3.15.4本合同正本</w:t>
      </w:r>
      <w:r>
        <w:rPr>
          <w:rFonts w:hint="eastAsia" w:ascii="宋体" w:hAnsi="宋体" w:eastAsia="宋体"/>
          <w:color w:val="auto"/>
          <w:sz w:val="21"/>
          <w:szCs w:val="21"/>
          <w:highlight w:val="none"/>
          <w:u w:val="single"/>
        </w:rPr>
        <w:t xml:space="preserve"> 贰 </w:t>
      </w:r>
      <w:r>
        <w:rPr>
          <w:rFonts w:hint="eastAsia" w:ascii="宋体" w:hAnsi="宋体" w:eastAsia="宋体"/>
          <w:color w:val="auto"/>
          <w:sz w:val="21"/>
          <w:szCs w:val="21"/>
          <w:highlight w:val="none"/>
        </w:rPr>
        <w:t>份、双方各执一份，副本</w:t>
      </w:r>
      <w:r>
        <w:rPr>
          <w:rFonts w:hint="eastAsia" w:ascii="宋体" w:hAnsi="宋体" w:eastAsia="宋体"/>
          <w:color w:val="auto"/>
          <w:sz w:val="21"/>
          <w:szCs w:val="21"/>
          <w:highlight w:val="none"/>
          <w:u w:val="single"/>
        </w:rPr>
        <w:t xml:space="preserve"> 肆 </w:t>
      </w:r>
      <w:r>
        <w:rPr>
          <w:rFonts w:hint="eastAsia" w:ascii="宋体" w:hAnsi="宋体" w:eastAsia="宋体"/>
          <w:color w:val="auto"/>
          <w:sz w:val="21"/>
          <w:szCs w:val="21"/>
          <w:highlight w:val="none"/>
        </w:rPr>
        <w:t>份、双方各执</w:t>
      </w:r>
      <w:r>
        <w:rPr>
          <w:rFonts w:hint="eastAsia" w:ascii="宋体" w:hAnsi="宋体" w:eastAsia="宋体"/>
          <w:color w:val="auto"/>
          <w:sz w:val="21"/>
          <w:szCs w:val="21"/>
          <w:highlight w:val="none"/>
          <w:u w:val="single"/>
        </w:rPr>
        <w:t xml:space="preserve">贰 </w:t>
      </w:r>
      <w:r>
        <w:rPr>
          <w:rFonts w:hint="eastAsia" w:ascii="宋体" w:hAnsi="宋体" w:eastAsia="宋体"/>
          <w:color w:val="auto"/>
          <w:sz w:val="21"/>
          <w:szCs w:val="21"/>
          <w:highlight w:val="none"/>
        </w:rPr>
        <w:t>份。</w:t>
      </w:r>
    </w:p>
    <w:p>
      <w:pPr>
        <w:pStyle w:val="10"/>
        <w:spacing w:line="44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3.15.5 本合同签定地点：                         。</w:t>
      </w:r>
    </w:p>
    <w:p>
      <w:pPr>
        <w:rPr>
          <w:color w:val="auto"/>
          <w:highlight w:val="none"/>
        </w:rPr>
      </w:pPr>
    </w:p>
    <w:p>
      <w:pPr>
        <w:rPr>
          <w:color w:val="auto"/>
          <w:highlight w:val="none"/>
        </w:rPr>
      </w:pPr>
    </w:p>
    <w:p>
      <w:pPr>
        <w:rPr>
          <w:color w:val="auto"/>
          <w:highlight w:val="none"/>
        </w:rPr>
      </w:pPr>
    </w:p>
    <w:p>
      <w:pPr>
        <w:spacing w:line="440" w:lineRule="exact"/>
        <w:rPr>
          <w:rFonts w:ascii="宋体" w:hAnsi="宋体"/>
          <w:color w:val="auto"/>
          <w:szCs w:val="21"/>
          <w:highlight w:val="none"/>
        </w:rPr>
      </w:pPr>
      <w:r>
        <w:rPr>
          <w:rFonts w:hint="eastAsia" w:hAnsi="宋体"/>
          <w:color w:val="auto"/>
          <w:szCs w:val="21"/>
          <w:highlight w:val="none"/>
        </w:rPr>
        <w:t>委托人</w:t>
      </w:r>
      <w:r>
        <w:rPr>
          <w:rFonts w:hint="eastAsia" w:ascii="宋体" w:hAnsi="宋体"/>
          <w:color w:val="auto"/>
          <w:szCs w:val="21"/>
          <w:highlight w:val="none"/>
        </w:rPr>
        <w:t>：</w:t>
      </w:r>
      <w:r>
        <w:rPr>
          <w:rFonts w:ascii="宋体" w:hAnsi="宋体"/>
          <w:color w:val="auto"/>
          <w:szCs w:val="21"/>
          <w:highlight w:val="none"/>
        </w:rPr>
        <w:t>_______________</w:t>
      </w:r>
      <w:r>
        <w:rPr>
          <w:rFonts w:hint="eastAsia" w:ascii="宋体" w:hAnsi="宋体"/>
          <w:color w:val="auto"/>
          <w:szCs w:val="21"/>
          <w:highlight w:val="none"/>
        </w:rPr>
        <w:t>　</w:t>
      </w:r>
      <w:r>
        <w:rPr>
          <w:rFonts w:ascii="宋体" w:hAnsi="宋体"/>
          <w:color w:val="auto"/>
          <w:szCs w:val="21"/>
          <w:highlight w:val="none"/>
        </w:rPr>
        <w:t xml:space="preserve">        </w:t>
      </w:r>
      <w:r>
        <w:rPr>
          <w:rFonts w:hint="eastAsia"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受托人:</w:t>
      </w:r>
      <w:r>
        <w:rPr>
          <w:rFonts w:hAnsi="宋体"/>
          <w:color w:val="auto"/>
          <w:szCs w:val="21"/>
          <w:highlight w:val="none"/>
        </w:rPr>
        <w:t xml:space="preserve"> </w:t>
      </w:r>
      <w:r>
        <w:rPr>
          <w:rFonts w:ascii="宋体" w:hAnsi="宋体"/>
          <w:color w:val="auto"/>
          <w:szCs w:val="21"/>
          <w:highlight w:val="none"/>
        </w:rPr>
        <w:t>________________</w:t>
      </w:r>
    </w:p>
    <w:p>
      <w:pPr>
        <w:spacing w:line="440" w:lineRule="exact"/>
        <w:rPr>
          <w:rFonts w:ascii="宋体" w:hAnsi="宋体"/>
          <w:color w:val="auto"/>
          <w:szCs w:val="21"/>
          <w:highlight w:val="none"/>
        </w:rPr>
      </w:pPr>
      <w:r>
        <w:rPr>
          <w:rFonts w:hint="eastAsia" w:ascii="宋体" w:hAnsi="宋体"/>
          <w:color w:val="auto"/>
          <w:szCs w:val="21"/>
          <w:highlight w:val="none"/>
        </w:rPr>
        <w:t xml:space="preserve">                   （盖章）　　　　　　　　               （盖章）</w:t>
      </w:r>
    </w:p>
    <w:p>
      <w:pPr>
        <w:spacing w:line="440" w:lineRule="exact"/>
        <w:rPr>
          <w:rFonts w:ascii="宋体" w:hAnsi="宋体"/>
          <w:color w:val="auto"/>
          <w:szCs w:val="21"/>
          <w:highlight w:val="none"/>
        </w:rPr>
      </w:pPr>
      <w:r>
        <w:rPr>
          <w:rFonts w:hint="eastAsia" w:ascii="宋体" w:hAnsi="宋体"/>
          <w:color w:val="auto"/>
          <w:szCs w:val="21"/>
          <w:highlight w:val="none"/>
        </w:rPr>
        <w:t>法定代表人：（签字）</w:t>
      </w:r>
      <w:r>
        <w:rPr>
          <w:rFonts w:ascii="宋体" w:hAnsi="宋体"/>
          <w:color w:val="auto"/>
          <w:szCs w:val="21"/>
          <w:highlight w:val="none"/>
        </w:rPr>
        <w:t>________</w:t>
      </w:r>
      <w:r>
        <w:rPr>
          <w:rFonts w:hint="eastAsia" w:ascii="宋体" w:hAnsi="宋体"/>
          <w:color w:val="auto"/>
          <w:szCs w:val="21"/>
          <w:highlight w:val="none"/>
        </w:rPr>
        <w:t>　　</w:t>
      </w:r>
      <w:r>
        <w:rPr>
          <w:rFonts w:ascii="宋体" w:hAnsi="宋体"/>
          <w:color w:val="auto"/>
          <w:szCs w:val="21"/>
          <w:highlight w:val="none"/>
        </w:rPr>
        <w:t xml:space="preserve">       </w:t>
      </w:r>
      <w:r>
        <w:rPr>
          <w:rFonts w:hint="eastAsia" w:ascii="宋体" w:hAnsi="宋体"/>
          <w:color w:val="auto"/>
          <w:szCs w:val="21"/>
          <w:highlight w:val="none"/>
        </w:rPr>
        <w:t>法定代表人：（签字）</w:t>
      </w:r>
      <w:r>
        <w:rPr>
          <w:rFonts w:ascii="宋体" w:hAnsi="宋体"/>
          <w:color w:val="auto"/>
          <w:szCs w:val="21"/>
          <w:highlight w:val="none"/>
        </w:rPr>
        <w:t>________</w:t>
      </w:r>
    </w:p>
    <w:p>
      <w:pPr>
        <w:spacing w:line="440" w:lineRule="exact"/>
        <w:rPr>
          <w:rFonts w:ascii="宋体" w:hAnsi="宋体"/>
          <w:color w:val="auto"/>
          <w:szCs w:val="21"/>
          <w:highlight w:val="none"/>
        </w:rPr>
      </w:pPr>
      <w:r>
        <w:rPr>
          <w:rFonts w:hint="eastAsia" w:ascii="宋体" w:hAnsi="宋体"/>
          <w:color w:val="auto"/>
          <w:szCs w:val="21"/>
          <w:highlight w:val="none"/>
        </w:rPr>
        <w:t>委托代理人：（签字）</w:t>
      </w:r>
      <w:r>
        <w:rPr>
          <w:rFonts w:ascii="宋体" w:hAnsi="宋体"/>
          <w:color w:val="auto"/>
          <w:szCs w:val="21"/>
          <w:highlight w:val="none"/>
        </w:rPr>
        <w:t>________</w:t>
      </w:r>
      <w:r>
        <w:rPr>
          <w:rFonts w:hint="eastAsia" w:ascii="宋体" w:hAnsi="宋体"/>
          <w:color w:val="auto"/>
          <w:szCs w:val="21"/>
          <w:highlight w:val="none"/>
        </w:rPr>
        <w:t>　　</w:t>
      </w:r>
      <w:r>
        <w:rPr>
          <w:rFonts w:ascii="宋体" w:hAnsi="宋体"/>
          <w:color w:val="auto"/>
          <w:szCs w:val="21"/>
          <w:highlight w:val="none"/>
        </w:rPr>
        <w:t xml:space="preserve">       </w:t>
      </w:r>
      <w:r>
        <w:rPr>
          <w:rFonts w:hint="eastAsia" w:ascii="宋体" w:hAnsi="宋体"/>
          <w:color w:val="auto"/>
          <w:szCs w:val="21"/>
          <w:highlight w:val="none"/>
        </w:rPr>
        <w:t>委托代理人：（签字）</w:t>
      </w:r>
      <w:r>
        <w:rPr>
          <w:rFonts w:ascii="宋体" w:hAnsi="宋体"/>
          <w:color w:val="auto"/>
          <w:szCs w:val="21"/>
          <w:highlight w:val="none"/>
        </w:rPr>
        <w:t>________</w:t>
      </w:r>
    </w:p>
    <w:p>
      <w:pPr>
        <w:spacing w:line="440" w:lineRule="exact"/>
        <w:rPr>
          <w:rFonts w:ascii="宋体" w:hAnsi="宋体"/>
          <w:color w:val="auto"/>
          <w:szCs w:val="21"/>
          <w:highlight w:val="none"/>
        </w:rPr>
      </w:pPr>
      <w:r>
        <w:rPr>
          <w:rFonts w:hint="eastAsia" w:ascii="宋体" w:hAnsi="宋体"/>
          <w:color w:val="auto"/>
          <w:szCs w:val="21"/>
          <w:highlight w:val="none"/>
        </w:rPr>
        <w:t>住所：</w:t>
      </w:r>
      <w:r>
        <w:rPr>
          <w:rFonts w:ascii="宋体" w:hAnsi="宋体"/>
          <w:color w:val="auto"/>
          <w:szCs w:val="21"/>
          <w:highlight w:val="none"/>
        </w:rPr>
        <w:t>______________________</w:t>
      </w:r>
      <w:r>
        <w:rPr>
          <w:rFonts w:hint="eastAsia" w:ascii="宋体" w:hAnsi="宋体"/>
          <w:color w:val="auto"/>
          <w:szCs w:val="21"/>
          <w:highlight w:val="none"/>
        </w:rPr>
        <w:t>　</w:t>
      </w:r>
      <w:r>
        <w:rPr>
          <w:rFonts w:ascii="宋体" w:hAnsi="宋体"/>
          <w:color w:val="auto"/>
          <w:szCs w:val="21"/>
          <w:highlight w:val="none"/>
        </w:rPr>
        <w:t xml:space="preserve">        </w:t>
      </w:r>
      <w:r>
        <w:rPr>
          <w:rFonts w:hint="eastAsia" w:ascii="宋体" w:hAnsi="宋体"/>
          <w:color w:val="auto"/>
          <w:szCs w:val="21"/>
          <w:highlight w:val="none"/>
        </w:rPr>
        <w:t>住所：</w:t>
      </w:r>
      <w:r>
        <w:rPr>
          <w:rFonts w:ascii="宋体" w:hAnsi="宋体"/>
          <w:color w:val="auto"/>
          <w:szCs w:val="21"/>
          <w:highlight w:val="none"/>
        </w:rPr>
        <w:t>______________________</w:t>
      </w:r>
    </w:p>
    <w:p>
      <w:pPr>
        <w:spacing w:line="440" w:lineRule="exact"/>
        <w:rPr>
          <w:rFonts w:ascii="宋体" w:hAnsi="宋体"/>
          <w:color w:val="auto"/>
          <w:szCs w:val="21"/>
          <w:highlight w:val="none"/>
        </w:rPr>
      </w:pPr>
      <w:r>
        <w:rPr>
          <w:rFonts w:hint="eastAsia" w:ascii="宋体" w:hAnsi="宋体"/>
          <w:color w:val="auto"/>
          <w:szCs w:val="21"/>
          <w:highlight w:val="none"/>
        </w:rPr>
        <w:t>邮政编码：</w:t>
      </w:r>
      <w:r>
        <w:rPr>
          <w:rFonts w:ascii="宋体" w:hAnsi="宋体"/>
          <w:color w:val="auto"/>
          <w:szCs w:val="21"/>
          <w:highlight w:val="none"/>
        </w:rPr>
        <w:t>__________________</w:t>
      </w:r>
      <w:r>
        <w:rPr>
          <w:rFonts w:hint="eastAsia" w:ascii="宋体" w:hAnsi="宋体"/>
          <w:color w:val="auto"/>
          <w:szCs w:val="21"/>
          <w:highlight w:val="none"/>
        </w:rPr>
        <w:t>　</w:t>
      </w:r>
      <w:r>
        <w:rPr>
          <w:rFonts w:ascii="宋体" w:hAnsi="宋体"/>
          <w:color w:val="auto"/>
          <w:szCs w:val="21"/>
          <w:highlight w:val="none"/>
        </w:rPr>
        <w:t xml:space="preserve">        </w:t>
      </w:r>
      <w:r>
        <w:rPr>
          <w:rFonts w:hint="eastAsia" w:ascii="宋体" w:hAnsi="宋体"/>
          <w:color w:val="auto"/>
          <w:szCs w:val="21"/>
          <w:highlight w:val="none"/>
        </w:rPr>
        <w:t>邮政编码：</w:t>
      </w:r>
      <w:r>
        <w:rPr>
          <w:rFonts w:ascii="宋体" w:hAnsi="宋体"/>
          <w:color w:val="auto"/>
          <w:szCs w:val="21"/>
          <w:highlight w:val="none"/>
        </w:rPr>
        <w:t>__________________</w:t>
      </w:r>
    </w:p>
    <w:p>
      <w:pPr>
        <w:spacing w:line="440" w:lineRule="exact"/>
        <w:rPr>
          <w:rFonts w:ascii="宋体" w:hAnsi="宋体"/>
          <w:color w:val="auto"/>
          <w:szCs w:val="21"/>
          <w:highlight w:val="none"/>
        </w:rPr>
      </w:pPr>
      <w:r>
        <w:rPr>
          <w:rFonts w:hint="eastAsia" w:ascii="宋体" w:hAnsi="宋体"/>
          <w:color w:val="auto"/>
          <w:szCs w:val="21"/>
          <w:highlight w:val="none"/>
        </w:rPr>
        <w:t>电话：</w:t>
      </w:r>
      <w:r>
        <w:rPr>
          <w:rFonts w:ascii="宋体" w:hAnsi="宋体"/>
          <w:color w:val="auto"/>
          <w:szCs w:val="21"/>
          <w:highlight w:val="none"/>
        </w:rPr>
        <w:t>______________________</w:t>
      </w:r>
      <w:r>
        <w:rPr>
          <w:rFonts w:hint="eastAsia" w:ascii="宋体" w:hAnsi="宋体"/>
          <w:color w:val="auto"/>
          <w:szCs w:val="21"/>
          <w:highlight w:val="none"/>
        </w:rPr>
        <w:t>　</w:t>
      </w:r>
      <w:r>
        <w:rPr>
          <w:rFonts w:ascii="宋体" w:hAnsi="宋体"/>
          <w:color w:val="auto"/>
          <w:szCs w:val="21"/>
          <w:highlight w:val="none"/>
        </w:rPr>
        <w:t xml:space="preserve">        </w:t>
      </w:r>
      <w:r>
        <w:rPr>
          <w:rFonts w:hint="eastAsia" w:ascii="宋体" w:hAnsi="宋体"/>
          <w:color w:val="auto"/>
          <w:szCs w:val="21"/>
          <w:highlight w:val="none"/>
        </w:rPr>
        <w:t>电话：</w:t>
      </w:r>
      <w:r>
        <w:rPr>
          <w:rFonts w:ascii="宋体" w:hAnsi="宋体"/>
          <w:color w:val="auto"/>
          <w:szCs w:val="21"/>
          <w:highlight w:val="none"/>
        </w:rPr>
        <w:t>______________________</w:t>
      </w:r>
    </w:p>
    <w:p>
      <w:pPr>
        <w:spacing w:line="440" w:lineRule="exact"/>
        <w:rPr>
          <w:rFonts w:ascii="宋体" w:hAnsi="宋体"/>
          <w:color w:val="auto"/>
          <w:szCs w:val="21"/>
          <w:highlight w:val="none"/>
        </w:rPr>
      </w:pPr>
      <w:r>
        <w:rPr>
          <w:rFonts w:hint="eastAsia" w:ascii="宋体" w:hAnsi="宋体"/>
          <w:color w:val="auto"/>
          <w:szCs w:val="21"/>
          <w:highlight w:val="none"/>
        </w:rPr>
        <w:t>传真：</w:t>
      </w:r>
      <w:r>
        <w:rPr>
          <w:rFonts w:ascii="宋体" w:hAnsi="宋体"/>
          <w:color w:val="auto"/>
          <w:szCs w:val="21"/>
          <w:highlight w:val="none"/>
        </w:rPr>
        <w:t>______________________</w:t>
      </w:r>
      <w:r>
        <w:rPr>
          <w:rFonts w:hint="eastAsia" w:ascii="宋体" w:hAnsi="宋体"/>
          <w:color w:val="auto"/>
          <w:szCs w:val="21"/>
          <w:highlight w:val="none"/>
        </w:rPr>
        <w:t>　</w:t>
      </w:r>
      <w:r>
        <w:rPr>
          <w:rFonts w:ascii="宋体" w:hAnsi="宋体"/>
          <w:color w:val="auto"/>
          <w:szCs w:val="21"/>
          <w:highlight w:val="none"/>
        </w:rPr>
        <w:t xml:space="preserve">        </w:t>
      </w:r>
      <w:r>
        <w:rPr>
          <w:rFonts w:hint="eastAsia" w:ascii="宋体" w:hAnsi="宋体"/>
          <w:color w:val="auto"/>
          <w:szCs w:val="21"/>
          <w:highlight w:val="none"/>
        </w:rPr>
        <w:t>传真：</w:t>
      </w:r>
      <w:r>
        <w:rPr>
          <w:rFonts w:ascii="宋体" w:hAnsi="宋体"/>
          <w:color w:val="auto"/>
          <w:szCs w:val="21"/>
          <w:highlight w:val="none"/>
        </w:rPr>
        <w:t>______________________</w:t>
      </w:r>
    </w:p>
    <w:p>
      <w:pPr>
        <w:spacing w:line="440" w:lineRule="exact"/>
        <w:rPr>
          <w:rFonts w:ascii="宋体" w:hAnsi="宋体"/>
          <w:color w:val="auto"/>
          <w:szCs w:val="21"/>
          <w:highlight w:val="none"/>
        </w:rPr>
      </w:pPr>
      <w:r>
        <w:rPr>
          <w:rFonts w:hint="eastAsia" w:ascii="宋体" w:hAnsi="宋体"/>
          <w:color w:val="auto"/>
          <w:szCs w:val="21"/>
          <w:highlight w:val="none"/>
        </w:rPr>
        <w:t>开户银行：</w:t>
      </w:r>
      <w:r>
        <w:rPr>
          <w:rFonts w:ascii="宋体" w:hAnsi="宋体"/>
          <w:color w:val="auto"/>
          <w:szCs w:val="21"/>
          <w:highlight w:val="none"/>
        </w:rPr>
        <w:t>__________________</w:t>
      </w:r>
      <w:r>
        <w:rPr>
          <w:rFonts w:hint="eastAsia" w:ascii="宋体" w:hAnsi="宋体"/>
          <w:color w:val="auto"/>
          <w:szCs w:val="21"/>
          <w:highlight w:val="none"/>
        </w:rPr>
        <w:t>　</w:t>
      </w:r>
      <w:r>
        <w:rPr>
          <w:rFonts w:ascii="宋体" w:hAnsi="宋体"/>
          <w:color w:val="auto"/>
          <w:szCs w:val="21"/>
          <w:highlight w:val="none"/>
        </w:rPr>
        <w:t xml:space="preserve">        </w:t>
      </w:r>
      <w:r>
        <w:rPr>
          <w:rFonts w:hint="eastAsia" w:ascii="宋体" w:hAnsi="宋体"/>
          <w:color w:val="auto"/>
          <w:szCs w:val="21"/>
          <w:highlight w:val="none"/>
        </w:rPr>
        <w:t>开户银行：</w:t>
      </w:r>
      <w:r>
        <w:rPr>
          <w:rFonts w:ascii="宋体" w:hAnsi="宋体"/>
          <w:color w:val="auto"/>
          <w:szCs w:val="21"/>
          <w:highlight w:val="none"/>
        </w:rPr>
        <w:t>__________________</w:t>
      </w:r>
    </w:p>
    <w:p>
      <w:pPr>
        <w:spacing w:line="440" w:lineRule="exact"/>
        <w:rPr>
          <w:rFonts w:ascii="宋体" w:hAnsi="宋体"/>
          <w:color w:val="auto"/>
          <w:szCs w:val="21"/>
          <w:highlight w:val="none"/>
        </w:rPr>
      </w:pPr>
      <w:r>
        <w:rPr>
          <w:rFonts w:hint="eastAsia" w:ascii="宋体" w:hAnsi="宋体"/>
          <w:color w:val="auto"/>
          <w:szCs w:val="21"/>
          <w:highlight w:val="none"/>
        </w:rPr>
        <w:t>银行帐号：</w:t>
      </w:r>
      <w:r>
        <w:rPr>
          <w:rFonts w:ascii="宋体" w:hAnsi="宋体"/>
          <w:color w:val="auto"/>
          <w:szCs w:val="21"/>
          <w:highlight w:val="none"/>
        </w:rPr>
        <w:t>__________________</w:t>
      </w:r>
      <w:r>
        <w:rPr>
          <w:rFonts w:hint="eastAsia" w:ascii="宋体" w:hAnsi="宋体"/>
          <w:color w:val="auto"/>
          <w:szCs w:val="21"/>
          <w:highlight w:val="none"/>
        </w:rPr>
        <w:t>　</w:t>
      </w:r>
      <w:r>
        <w:rPr>
          <w:rFonts w:ascii="宋体" w:hAnsi="宋体"/>
          <w:color w:val="auto"/>
          <w:szCs w:val="21"/>
          <w:highlight w:val="none"/>
        </w:rPr>
        <w:t xml:space="preserve">     </w:t>
      </w:r>
      <w:r>
        <w:rPr>
          <w:rFonts w:hint="eastAsia" w:ascii="宋体" w:hAnsi="宋体"/>
          <w:color w:val="auto"/>
          <w:szCs w:val="21"/>
          <w:highlight w:val="none"/>
        </w:rPr>
        <w:t>　</w:t>
      </w:r>
      <w:r>
        <w:rPr>
          <w:rFonts w:ascii="宋体" w:hAnsi="宋体"/>
          <w:color w:val="auto"/>
          <w:szCs w:val="21"/>
          <w:highlight w:val="none"/>
        </w:rPr>
        <w:t xml:space="preserve"> </w:t>
      </w:r>
      <w:r>
        <w:rPr>
          <w:rFonts w:hint="eastAsia" w:ascii="宋体" w:hAnsi="宋体"/>
          <w:color w:val="auto"/>
          <w:szCs w:val="21"/>
          <w:highlight w:val="none"/>
        </w:rPr>
        <w:t>银行帐号：</w:t>
      </w:r>
      <w:r>
        <w:rPr>
          <w:rFonts w:ascii="宋体" w:hAnsi="宋体"/>
          <w:color w:val="auto"/>
          <w:szCs w:val="21"/>
          <w:highlight w:val="none"/>
        </w:rPr>
        <w:t>__________________</w:t>
      </w:r>
    </w:p>
    <w:p>
      <w:pPr>
        <w:spacing w:line="440" w:lineRule="exact"/>
        <w:ind w:right="480"/>
        <w:jc w:val="center"/>
        <w:rPr>
          <w:rFonts w:ascii="宋体" w:hAnsi="宋体"/>
          <w:color w:val="auto"/>
          <w:szCs w:val="21"/>
          <w:highlight w:val="none"/>
        </w:rPr>
      </w:pPr>
      <w:r>
        <w:rPr>
          <w:rFonts w:ascii="宋体" w:hAnsi="宋体"/>
          <w:color w:val="auto"/>
          <w:szCs w:val="21"/>
          <w:highlight w:val="none"/>
        </w:rPr>
        <w:t xml:space="preserve">                                   </w:t>
      </w:r>
    </w:p>
    <w:p>
      <w:pPr>
        <w:spacing w:line="440" w:lineRule="exact"/>
        <w:ind w:right="480"/>
        <w:jc w:val="center"/>
        <w:rPr>
          <w:rFonts w:ascii="宋体" w:hAnsi="宋体"/>
          <w:color w:val="auto"/>
          <w:szCs w:val="21"/>
          <w:highlight w:val="none"/>
        </w:rPr>
      </w:pPr>
    </w:p>
    <w:p>
      <w:pPr>
        <w:spacing w:line="440" w:lineRule="exact"/>
        <w:ind w:right="480"/>
        <w:rPr>
          <w:rFonts w:ascii="宋体" w:hAnsi="宋体"/>
          <w:color w:val="auto"/>
          <w:szCs w:val="21"/>
          <w:highlight w:val="none"/>
        </w:rPr>
      </w:pPr>
      <w:r>
        <w:rPr>
          <w:rFonts w:hint="eastAsia" w:ascii="宋体" w:hAnsi="宋体"/>
          <w:color w:val="auto"/>
          <w:szCs w:val="21"/>
          <w:highlight w:val="none"/>
        </w:rPr>
        <w:t>签订日期：</w:t>
      </w:r>
      <w:r>
        <w:rPr>
          <w:rFonts w:hint="eastAsia" w:ascii="宋体" w:hAnsi="宋体"/>
          <w:color w:val="auto"/>
          <w:szCs w:val="21"/>
          <w:highlight w:val="none"/>
          <w:u w:val="single"/>
        </w:rPr>
        <w:t xml:space="preserve"> </w:t>
      </w:r>
      <w:r>
        <w:rPr>
          <w:rFonts w:hint="eastAsia"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___</w:t>
      </w:r>
      <w:r>
        <w:rPr>
          <w:rFonts w:hint="eastAsia" w:ascii="宋体" w:hAnsi="宋体"/>
          <w:color w:val="auto"/>
          <w:szCs w:val="21"/>
          <w:highlight w:val="none"/>
        </w:rPr>
        <w:t>月</w:t>
      </w:r>
      <w:r>
        <w:rPr>
          <w:rFonts w:ascii="宋体" w:hAnsi="宋体"/>
          <w:color w:val="auto"/>
          <w:szCs w:val="21"/>
          <w:highlight w:val="none"/>
        </w:rPr>
        <w:t>___</w:t>
      </w:r>
      <w:r>
        <w:rPr>
          <w:rFonts w:hint="eastAsia" w:ascii="宋体" w:hAnsi="宋体"/>
          <w:color w:val="auto"/>
          <w:szCs w:val="21"/>
          <w:highlight w:val="none"/>
        </w:rPr>
        <w:t>日</w:t>
      </w:r>
    </w:p>
    <w:p>
      <w:pPr>
        <w:spacing w:line="440" w:lineRule="exact"/>
        <w:ind w:firstLine="422" w:firstLineChars="200"/>
        <w:rPr>
          <w:color w:val="auto"/>
          <w:highlight w:val="none"/>
        </w:rPr>
      </w:pPr>
      <w:r>
        <w:rPr>
          <w:rFonts w:ascii="宋体" w:cs="宋体"/>
          <w:b/>
          <w:bCs/>
          <w:color w:val="auto"/>
          <w:highlight w:val="none"/>
        </w:rPr>
        <w:br w:type="page"/>
      </w:r>
      <w:r>
        <w:rPr>
          <w:rFonts w:hint="eastAsia"/>
          <w:color w:val="auto"/>
          <w:highlight w:val="none"/>
        </w:rPr>
        <w:t>合同附件一：</w:t>
      </w:r>
    </w:p>
    <w:p>
      <w:pPr>
        <w:spacing w:line="360" w:lineRule="auto"/>
        <w:ind w:firstLine="560" w:firstLineChars="200"/>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基本建设项目廉政共建协议书</w:t>
      </w:r>
    </w:p>
    <w:p>
      <w:pPr>
        <w:spacing w:line="360" w:lineRule="auto"/>
        <w:ind w:firstLine="480" w:firstLineChars="200"/>
        <w:rPr>
          <w:rFonts w:ascii="宋体" w:hAnsi="宋体"/>
          <w:color w:val="auto"/>
          <w:sz w:val="24"/>
          <w:highlight w:val="none"/>
        </w:rPr>
      </w:pPr>
    </w:p>
    <w:p>
      <w:pPr>
        <w:spacing w:line="520" w:lineRule="exact"/>
        <w:ind w:firstLine="420" w:firstLineChars="200"/>
        <w:rPr>
          <w:rFonts w:ascii="宋体" w:hAnsi="宋体"/>
          <w:color w:val="auto"/>
          <w:szCs w:val="21"/>
          <w:highlight w:val="none"/>
          <w:u w:val="single"/>
        </w:rPr>
      </w:pPr>
      <w:r>
        <w:rPr>
          <w:rFonts w:hint="eastAsia" w:ascii="宋体" w:hAnsi="宋体"/>
          <w:color w:val="auto"/>
          <w:szCs w:val="21"/>
          <w:highlight w:val="none"/>
        </w:rPr>
        <w:t>发包人：</w:t>
      </w:r>
      <w:r>
        <w:rPr>
          <w:rFonts w:hint="eastAsia" w:ascii="宋体" w:hAnsi="宋体"/>
          <w:color w:val="auto"/>
          <w:szCs w:val="21"/>
          <w:highlight w:val="none"/>
          <w:u w:val="single"/>
        </w:rPr>
        <w:t xml:space="preserve">                                </w:t>
      </w:r>
    </w:p>
    <w:p>
      <w:pPr>
        <w:spacing w:line="520" w:lineRule="exact"/>
        <w:ind w:firstLine="420" w:firstLineChars="200"/>
        <w:rPr>
          <w:rFonts w:ascii="宋体" w:hAnsi="宋体"/>
          <w:color w:val="auto"/>
          <w:szCs w:val="21"/>
          <w:highlight w:val="none"/>
          <w:u w:val="single"/>
        </w:rPr>
      </w:pPr>
      <w:r>
        <w:rPr>
          <w:rFonts w:hint="eastAsia" w:ascii="宋体" w:hAnsi="宋体"/>
          <w:color w:val="auto"/>
          <w:szCs w:val="21"/>
          <w:highlight w:val="none"/>
        </w:rPr>
        <w:t>承包人：</w:t>
      </w:r>
      <w:r>
        <w:rPr>
          <w:rFonts w:hint="eastAsia" w:ascii="宋体" w:hAnsi="宋体"/>
          <w:color w:val="auto"/>
          <w:szCs w:val="21"/>
          <w:highlight w:val="none"/>
          <w:u w:val="single"/>
        </w:rPr>
        <w:t xml:space="preserve">                                </w:t>
      </w:r>
    </w:p>
    <w:p>
      <w:pPr>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为做好</w:t>
      </w:r>
      <w:r>
        <w:rPr>
          <w:rFonts w:hint="eastAsia" w:ascii="宋体" w:hAnsi="宋体"/>
          <w:color w:val="auto"/>
          <w:szCs w:val="21"/>
          <w:highlight w:val="none"/>
          <w:u w:val="single"/>
        </w:rPr>
        <w:t xml:space="preserve">                </w:t>
      </w:r>
      <w:r>
        <w:rPr>
          <w:rFonts w:hint="eastAsia" w:ascii="宋体" w:hAnsi="宋体"/>
          <w:color w:val="auto"/>
          <w:szCs w:val="21"/>
          <w:highlight w:val="none"/>
        </w:rPr>
        <w:t>基本建设项目的党风廉政建设，实现该基本建设项目高效优质、廉洁安全，根据国家有关法律法规，发包人、承包人双方签署《廉政共建协议书》，承诺共同遵守。</w:t>
      </w:r>
    </w:p>
    <w:p>
      <w:pPr>
        <w:spacing w:line="520" w:lineRule="exact"/>
        <w:ind w:firstLine="422" w:firstLineChars="200"/>
        <w:rPr>
          <w:rFonts w:ascii="宋体" w:hAnsi="宋体"/>
          <w:b/>
          <w:color w:val="auto"/>
          <w:szCs w:val="21"/>
          <w:highlight w:val="none"/>
        </w:rPr>
      </w:pPr>
      <w:r>
        <w:rPr>
          <w:rFonts w:hint="eastAsia" w:ascii="宋体" w:hAnsi="宋体"/>
          <w:b/>
          <w:color w:val="auto"/>
          <w:szCs w:val="21"/>
          <w:highlight w:val="none"/>
        </w:rPr>
        <w:t>一、双方承诺</w:t>
      </w:r>
    </w:p>
    <w:p>
      <w:pPr>
        <w:spacing w:line="520" w:lineRule="exact"/>
        <w:ind w:firstLine="422" w:firstLineChars="200"/>
        <w:rPr>
          <w:rFonts w:ascii="宋体" w:hAnsi="宋体"/>
          <w:b/>
          <w:color w:val="auto"/>
          <w:szCs w:val="21"/>
          <w:highlight w:val="none"/>
        </w:rPr>
      </w:pPr>
      <w:r>
        <w:rPr>
          <w:rFonts w:hint="eastAsia" w:ascii="宋体" w:hAnsi="宋体"/>
          <w:b/>
          <w:color w:val="auto"/>
          <w:szCs w:val="21"/>
          <w:highlight w:val="none"/>
        </w:rPr>
        <w:t>（一）发包人承诺</w:t>
      </w:r>
    </w:p>
    <w:p>
      <w:pPr>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1、不向承包人索要或接受承包人的财物或者各种名义的回扣、手续费。</w:t>
      </w:r>
    </w:p>
    <w:p>
      <w:pPr>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2、不在承包人报销或由承包人支付任何应由个人负担的费用。</w:t>
      </w:r>
    </w:p>
    <w:p>
      <w:pPr>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3、发包人工作人员不接受承包人的可能影响公正执行公务的礼品馈赠、宴请以及高消费活动安排。</w:t>
      </w:r>
    </w:p>
    <w:p>
      <w:pPr>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4、不得要求或接受承包人为发包人个人及亲友提供有可能违反公平竞争的利益。</w:t>
      </w:r>
    </w:p>
    <w:p>
      <w:pPr>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5、发包人工作人员的配偶、子女及其配偶不得从事与发包人基本建设项目有关的经商办企业、社会中介服务等活动。</w:t>
      </w:r>
    </w:p>
    <w:p>
      <w:pPr>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6、发包人及其工作人员不得违规干预和插手基本建设项目的招投标、材料设备采购活动；不得违规干预与基本建设项目有关的设计、资金拨付、验收等重大事项；不得以任何理由向承包人推荐分包单位；不得要求承包人购买协议规定外的材料和设备。</w:t>
      </w:r>
    </w:p>
    <w:p>
      <w:pPr>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7、发包人及其工作人员不得泄露与项目有关的应当保密的信息、资料等机密事项。</w:t>
      </w:r>
    </w:p>
    <w:p>
      <w:pPr>
        <w:spacing w:line="520" w:lineRule="exact"/>
        <w:ind w:firstLine="422" w:firstLineChars="200"/>
        <w:rPr>
          <w:rFonts w:ascii="宋体" w:hAnsi="宋体"/>
          <w:b/>
          <w:color w:val="auto"/>
          <w:szCs w:val="21"/>
          <w:highlight w:val="none"/>
        </w:rPr>
      </w:pPr>
      <w:r>
        <w:rPr>
          <w:rFonts w:hint="eastAsia" w:ascii="宋体" w:hAnsi="宋体"/>
          <w:b/>
          <w:color w:val="auto"/>
          <w:szCs w:val="21"/>
          <w:highlight w:val="none"/>
        </w:rPr>
        <w:t>（二）承包人承诺</w:t>
      </w:r>
    </w:p>
    <w:p>
      <w:pPr>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1、诚实守信、依法办事，不从事损害国家利益、公共利益和发包人合法权益的活动，不以非法手段参与发包人基本建设项目。</w:t>
      </w:r>
    </w:p>
    <w:p>
      <w:pPr>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2、不向发包人及其工作人员给予财物或者各种名义的回扣、手续费。</w:t>
      </w:r>
    </w:p>
    <w:p>
      <w:pPr>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3、不为发包人及其工作人员报销或支付应由个人负担的费用。</w:t>
      </w:r>
    </w:p>
    <w:p>
      <w:pPr>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4、不向发包人工作人员提供礼品馈赠、宴请以及高消费活动安排。</w:t>
      </w:r>
    </w:p>
    <w:p>
      <w:pPr>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5、发包人工作人员有违反发包人承诺的，承包人拒绝无果，应当向发包人职能主管部门举报。</w:t>
      </w:r>
    </w:p>
    <w:p>
      <w:pPr>
        <w:spacing w:line="520" w:lineRule="exact"/>
        <w:ind w:firstLine="422" w:firstLineChars="200"/>
        <w:rPr>
          <w:rFonts w:ascii="宋体" w:hAnsi="宋体"/>
          <w:b/>
          <w:color w:val="auto"/>
          <w:szCs w:val="21"/>
          <w:highlight w:val="none"/>
        </w:rPr>
      </w:pPr>
      <w:r>
        <w:rPr>
          <w:rFonts w:hint="eastAsia" w:ascii="宋体" w:hAnsi="宋体"/>
          <w:b/>
          <w:color w:val="auto"/>
          <w:szCs w:val="21"/>
          <w:highlight w:val="none"/>
        </w:rPr>
        <w:t>二、违约责任</w:t>
      </w:r>
    </w:p>
    <w:p>
      <w:pPr>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（一）发包人违反承诺的，依照违规情节轻重，给予相关人员党纪、政纪或组织处理；涉嫌犯罪的移交司法机关追究刑事责任；给承包人造成经济损失的，应予以赔偿。</w:t>
      </w:r>
    </w:p>
    <w:p>
      <w:pPr>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（二）承包人违反承诺，给发包人造成经济损失的，承包人以合同金额的30%为标准向发包人支付廉政违约金，同时，发包人建议工程建设主管部门给予承包人三年内不得进入其主管的工程建设市场的处罚。</w:t>
      </w:r>
    </w:p>
    <w:p>
      <w:pPr>
        <w:spacing w:line="520" w:lineRule="exact"/>
        <w:ind w:firstLine="422" w:firstLineChars="200"/>
        <w:rPr>
          <w:rFonts w:ascii="宋体" w:hAnsi="宋体"/>
          <w:b/>
          <w:color w:val="auto"/>
          <w:szCs w:val="21"/>
          <w:highlight w:val="none"/>
        </w:rPr>
      </w:pPr>
      <w:r>
        <w:rPr>
          <w:rFonts w:hint="eastAsia" w:ascii="宋体" w:hAnsi="宋体"/>
          <w:b/>
          <w:color w:val="auto"/>
          <w:szCs w:val="21"/>
          <w:highlight w:val="none"/>
        </w:rPr>
        <w:t>三、双方约定</w:t>
      </w:r>
    </w:p>
    <w:p>
      <w:pPr>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（一）本协议的履行情况由发包人、承包人双方上级主管部门负责监督检查，提出本协议规定范围内裁定意见。</w:t>
      </w:r>
    </w:p>
    <w:p>
      <w:pPr>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（二）本协议一式   份，发包人执   份，承包人执   份，经双方盖章后生效。</w:t>
      </w:r>
    </w:p>
    <w:p>
      <w:pPr>
        <w:spacing w:line="520" w:lineRule="exact"/>
        <w:ind w:firstLine="420" w:firstLineChars="200"/>
        <w:rPr>
          <w:rFonts w:ascii="宋体" w:hAnsi="宋体"/>
          <w:color w:val="auto"/>
          <w:szCs w:val="21"/>
          <w:highlight w:val="none"/>
        </w:rPr>
      </w:pPr>
    </w:p>
    <w:p>
      <w:pPr>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发包人： （公章）                     承包人： （公章）</w:t>
      </w:r>
    </w:p>
    <w:p>
      <w:pPr>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授权代表：                            授权代表：</w:t>
      </w:r>
    </w:p>
    <w:p>
      <w:pPr>
        <w:spacing w:line="520" w:lineRule="exact"/>
        <w:ind w:firstLine="420" w:firstLineChars="200"/>
        <w:rPr>
          <w:rFonts w:ascii="宋体" w:hAnsi="宋体"/>
          <w:color w:val="auto"/>
          <w:szCs w:val="21"/>
          <w:highlight w:val="none"/>
        </w:rPr>
      </w:pPr>
    </w:p>
    <w:p>
      <w:pPr>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电话：                                电话：</w:t>
      </w:r>
    </w:p>
    <w:p>
      <w:pPr>
        <w:rPr>
          <w:color w:val="auto"/>
          <w:highlight w:val="none"/>
        </w:rPr>
      </w:pPr>
      <w:r>
        <w:rPr>
          <w:rFonts w:hint="eastAsia" w:ascii="宋体" w:hAnsi="宋体"/>
          <w:bCs/>
          <w:color w:val="auto"/>
          <w:szCs w:val="21"/>
          <w:highlight w:val="none"/>
        </w:rPr>
        <w:t>年   月   日                           年   月   日</w:t>
      </w:r>
      <w:r>
        <w:rPr>
          <w:rFonts w:ascii="宋体" w:cs="宋体"/>
          <w:bCs/>
          <w:color w:val="auto"/>
          <w:highlight w:val="none"/>
        </w:rPr>
        <w:br w:type="page"/>
      </w:r>
      <w:r>
        <w:rPr>
          <w:rFonts w:hint="eastAsia"/>
          <w:color w:val="auto"/>
          <w:highlight w:val="none"/>
        </w:rPr>
        <w:t>合同附件二：</w:t>
      </w:r>
    </w:p>
    <w:p>
      <w:pPr>
        <w:autoSpaceDE w:val="0"/>
        <w:autoSpaceDN w:val="0"/>
        <w:adjustRightInd w:val="0"/>
        <w:spacing w:before="100" w:beforeAutospacing="1" w:after="100" w:afterAutospacing="1" w:line="360" w:lineRule="auto"/>
        <w:jc w:val="center"/>
        <w:rPr>
          <w:rFonts w:ascii="宋体" w:hAnsi="宋体"/>
          <w:b/>
          <w:bCs/>
          <w:color w:val="auto"/>
          <w:sz w:val="24"/>
          <w:highlight w:val="none"/>
        </w:rPr>
      </w:pPr>
      <w:r>
        <w:rPr>
          <w:rFonts w:hint="eastAsia" w:ascii="宋体" w:hAnsi="宋体"/>
          <w:b/>
          <w:color w:val="auto"/>
          <w:sz w:val="24"/>
          <w:highlight w:val="none"/>
        </w:rPr>
        <w:t>造价公司服务考核评价打分表</w:t>
      </w:r>
    </w:p>
    <w:tbl>
      <w:tblPr>
        <w:tblStyle w:val="18"/>
        <w:tblW w:w="9640" w:type="dxa"/>
        <w:tblInd w:w="-318" w:type="dxa"/>
        <w:tblLayout w:type="fixed"/>
        <w:tblCellMar>
          <w:top w:w="0" w:type="dxa"/>
          <w:left w:w="108" w:type="dxa"/>
          <w:bottom w:w="0" w:type="dxa"/>
          <w:right w:w="108" w:type="dxa"/>
        </w:tblCellMar>
      </w:tblPr>
      <w:tblGrid>
        <w:gridCol w:w="1360"/>
        <w:gridCol w:w="2752"/>
        <w:gridCol w:w="1400"/>
        <w:gridCol w:w="2355"/>
        <w:gridCol w:w="1773"/>
      </w:tblGrid>
      <w:tr>
        <w:tblPrEx>
          <w:tblCellMar>
            <w:top w:w="0" w:type="dxa"/>
            <w:left w:w="108" w:type="dxa"/>
            <w:bottom w:w="0" w:type="dxa"/>
            <w:right w:w="108" w:type="dxa"/>
          </w:tblCellMar>
        </w:tblPrEx>
        <w:trPr>
          <w:trHeight w:val="285" w:hRule="atLeast"/>
        </w:trPr>
        <w:tc>
          <w:tcPr>
            <w:tcW w:w="4112" w:type="dxa"/>
            <w:gridSpan w:val="2"/>
            <w:tcBorders>
              <w:top w:val="single" w:color="auto" w:sz="4" w:space="0"/>
              <w:left w:val="single" w:color="auto" w:sz="4" w:space="0"/>
              <w:bottom w:val="single" w:color="auto" w:sz="4" w:space="0"/>
              <w:right w:val="single" w:color="000000" w:sz="4" w:space="0"/>
            </w:tcBorders>
            <w:vAlign w:val="center"/>
          </w:tcPr>
          <w:p>
            <w:pPr>
              <w:widowControl/>
              <w:jc w:val="left"/>
              <w:rPr>
                <w:rFonts w:cs="宋体"/>
                <w:color w:val="auto"/>
                <w:kern w:val="0"/>
                <w:sz w:val="24"/>
                <w:highlight w:val="none"/>
              </w:rPr>
            </w:pPr>
            <w:r>
              <w:rPr>
                <w:rFonts w:hint="eastAsia" w:cs="宋体"/>
                <w:color w:val="auto"/>
                <w:kern w:val="0"/>
                <w:sz w:val="24"/>
                <w:highlight w:val="none"/>
              </w:rPr>
              <w:t>合同名称：</w:t>
            </w:r>
          </w:p>
        </w:tc>
        <w:tc>
          <w:tcPr>
            <w:tcW w:w="5528" w:type="dxa"/>
            <w:gridSpan w:val="3"/>
            <w:tcBorders>
              <w:top w:val="single" w:color="auto" w:sz="4" w:space="0"/>
              <w:left w:val="nil"/>
              <w:bottom w:val="single" w:color="auto" w:sz="4" w:space="0"/>
              <w:right w:val="single" w:color="000000" w:sz="4" w:space="0"/>
            </w:tcBorders>
            <w:vAlign w:val="center"/>
          </w:tcPr>
          <w:p>
            <w:pPr>
              <w:widowControl/>
              <w:jc w:val="left"/>
              <w:rPr>
                <w:rFonts w:cs="宋体"/>
                <w:color w:val="auto"/>
                <w:kern w:val="0"/>
                <w:sz w:val="24"/>
                <w:highlight w:val="none"/>
              </w:rPr>
            </w:pPr>
            <w:r>
              <w:rPr>
                <w:rFonts w:hint="eastAsia" w:cs="宋体"/>
                <w:color w:val="auto"/>
                <w:kern w:val="0"/>
                <w:sz w:val="24"/>
                <w:highlight w:val="none"/>
              </w:rPr>
              <w:t>合同编号：</w:t>
            </w:r>
          </w:p>
        </w:tc>
      </w:tr>
      <w:tr>
        <w:tblPrEx>
          <w:tblCellMar>
            <w:top w:w="0" w:type="dxa"/>
            <w:left w:w="108" w:type="dxa"/>
            <w:bottom w:w="0" w:type="dxa"/>
            <w:right w:w="108" w:type="dxa"/>
          </w:tblCellMar>
        </w:tblPrEx>
        <w:trPr>
          <w:trHeight w:val="285" w:hRule="atLeast"/>
        </w:trPr>
        <w:tc>
          <w:tcPr>
            <w:tcW w:w="4112" w:type="dxa"/>
            <w:gridSpan w:val="2"/>
            <w:tcBorders>
              <w:top w:val="single" w:color="auto" w:sz="4" w:space="0"/>
              <w:left w:val="single" w:color="auto" w:sz="4" w:space="0"/>
              <w:bottom w:val="single" w:color="auto" w:sz="4" w:space="0"/>
              <w:right w:val="single" w:color="000000" w:sz="4" w:space="0"/>
            </w:tcBorders>
            <w:vAlign w:val="center"/>
          </w:tcPr>
          <w:p>
            <w:pPr>
              <w:widowControl/>
              <w:jc w:val="left"/>
              <w:rPr>
                <w:rFonts w:cs="宋体"/>
                <w:color w:val="auto"/>
                <w:kern w:val="0"/>
                <w:sz w:val="24"/>
                <w:highlight w:val="none"/>
              </w:rPr>
            </w:pPr>
            <w:r>
              <w:rPr>
                <w:rFonts w:hint="eastAsia" w:cs="宋体"/>
                <w:color w:val="auto"/>
                <w:kern w:val="0"/>
                <w:sz w:val="24"/>
                <w:highlight w:val="none"/>
              </w:rPr>
              <w:t>供应商名称：</w:t>
            </w:r>
          </w:p>
        </w:tc>
        <w:tc>
          <w:tcPr>
            <w:tcW w:w="5528" w:type="dxa"/>
            <w:gridSpan w:val="3"/>
            <w:tcBorders>
              <w:top w:val="single" w:color="auto" w:sz="4" w:space="0"/>
              <w:left w:val="nil"/>
              <w:bottom w:val="single" w:color="auto" w:sz="4" w:space="0"/>
              <w:right w:val="single" w:color="000000" w:sz="4" w:space="0"/>
            </w:tcBorders>
            <w:vAlign w:val="center"/>
          </w:tcPr>
          <w:p>
            <w:pPr>
              <w:widowControl/>
              <w:jc w:val="left"/>
              <w:rPr>
                <w:rFonts w:cs="宋体"/>
                <w:color w:val="auto"/>
                <w:kern w:val="0"/>
                <w:sz w:val="24"/>
                <w:highlight w:val="none"/>
              </w:rPr>
            </w:pPr>
            <w:r>
              <w:rPr>
                <w:rFonts w:hint="eastAsia" w:cs="宋体"/>
                <w:color w:val="auto"/>
                <w:kern w:val="0"/>
                <w:sz w:val="24"/>
                <w:highlight w:val="none"/>
              </w:rPr>
              <w:t>考核评价时间：</w:t>
            </w:r>
          </w:p>
        </w:tc>
      </w:tr>
      <w:tr>
        <w:tblPrEx>
          <w:tblCellMar>
            <w:top w:w="0" w:type="dxa"/>
            <w:left w:w="108" w:type="dxa"/>
            <w:bottom w:w="0" w:type="dxa"/>
            <w:right w:w="108" w:type="dxa"/>
          </w:tblCellMar>
        </w:tblPrEx>
        <w:trPr>
          <w:cantSplit/>
          <w:trHeight w:val="285" w:hRule="atLeast"/>
        </w:trPr>
        <w:tc>
          <w:tcPr>
            <w:tcW w:w="411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4"/>
                <w:highlight w:val="none"/>
              </w:rPr>
            </w:pPr>
            <w:r>
              <w:rPr>
                <w:color w:val="auto"/>
                <w:kern w:val="0"/>
                <w:sz w:val="24"/>
                <w:highlight w:val="none"/>
              </w:rPr>
              <w:t>考核描述</w:t>
            </w:r>
          </w:p>
        </w:tc>
        <w:tc>
          <w:tcPr>
            <w:tcW w:w="3755" w:type="dxa"/>
            <w:gridSpan w:val="2"/>
            <w:tcBorders>
              <w:top w:val="nil"/>
              <w:left w:val="nil"/>
              <w:bottom w:val="single" w:color="auto" w:sz="4" w:space="0"/>
              <w:right w:val="single" w:color="auto" w:sz="4" w:space="0"/>
            </w:tcBorders>
            <w:vAlign w:val="center"/>
          </w:tcPr>
          <w:p>
            <w:pPr>
              <w:widowControl/>
              <w:jc w:val="center"/>
              <w:rPr>
                <w:color w:val="auto"/>
                <w:kern w:val="0"/>
                <w:sz w:val="24"/>
                <w:highlight w:val="none"/>
              </w:rPr>
            </w:pPr>
            <w:r>
              <w:rPr>
                <w:rFonts w:hint="eastAsia"/>
                <w:color w:val="auto"/>
                <w:kern w:val="0"/>
                <w:sz w:val="24"/>
                <w:highlight w:val="none"/>
              </w:rPr>
              <w:t>分值</w:t>
            </w:r>
          </w:p>
        </w:tc>
        <w:tc>
          <w:tcPr>
            <w:tcW w:w="1773" w:type="dxa"/>
            <w:tcBorders>
              <w:top w:val="nil"/>
              <w:left w:val="single" w:color="auto" w:sz="4" w:space="0"/>
              <w:bottom w:val="single" w:color="auto" w:sz="4" w:space="0"/>
              <w:right w:val="single" w:color="auto" w:sz="4" w:space="0"/>
            </w:tcBorders>
            <w:vAlign w:val="center"/>
          </w:tcPr>
          <w:p>
            <w:pPr>
              <w:widowControl/>
              <w:jc w:val="center"/>
              <w:rPr>
                <w:rFonts w:cs="宋体"/>
                <w:color w:val="auto"/>
                <w:kern w:val="0"/>
                <w:szCs w:val="21"/>
                <w:highlight w:val="none"/>
              </w:rPr>
            </w:pPr>
            <w:r>
              <w:rPr>
                <w:rFonts w:hint="eastAsia" w:cs="宋体"/>
                <w:color w:val="auto"/>
                <w:kern w:val="0"/>
                <w:szCs w:val="21"/>
                <w:highlight w:val="none"/>
              </w:rPr>
              <w:t>备注</w:t>
            </w:r>
          </w:p>
        </w:tc>
      </w:tr>
      <w:tr>
        <w:tblPrEx>
          <w:tblCellMar>
            <w:top w:w="0" w:type="dxa"/>
            <w:left w:w="108" w:type="dxa"/>
            <w:bottom w:w="0" w:type="dxa"/>
            <w:right w:w="108" w:type="dxa"/>
          </w:tblCellMar>
        </w:tblPrEx>
        <w:trPr>
          <w:cantSplit/>
          <w:trHeight w:val="285" w:hRule="atLeast"/>
        </w:trPr>
        <w:tc>
          <w:tcPr>
            <w:tcW w:w="411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4"/>
                <w:highlight w:val="none"/>
              </w:rPr>
            </w:pPr>
          </w:p>
        </w:tc>
        <w:tc>
          <w:tcPr>
            <w:tcW w:w="3755" w:type="dxa"/>
            <w:gridSpan w:val="2"/>
            <w:tcBorders>
              <w:top w:val="nil"/>
              <w:left w:val="nil"/>
              <w:bottom w:val="single" w:color="auto" w:sz="4" w:space="0"/>
              <w:right w:val="single" w:color="auto" w:sz="4" w:space="0"/>
            </w:tcBorders>
            <w:vAlign w:val="center"/>
          </w:tcPr>
          <w:p>
            <w:pPr>
              <w:widowControl/>
              <w:jc w:val="center"/>
              <w:rPr>
                <w:color w:val="auto"/>
                <w:kern w:val="0"/>
                <w:sz w:val="24"/>
                <w:highlight w:val="none"/>
              </w:rPr>
            </w:pPr>
          </w:p>
        </w:tc>
        <w:tc>
          <w:tcPr>
            <w:tcW w:w="1773" w:type="dxa"/>
            <w:vMerge w:val="restart"/>
            <w:tcBorders>
              <w:top w:val="nil"/>
              <w:left w:val="single" w:color="auto" w:sz="4" w:space="0"/>
              <w:right w:val="single" w:color="auto" w:sz="4" w:space="0"/>
            </w:tcBorders>
            <w:vAlign w:val="center"/>
          </w:tcPr>
          <w:p>
            <w:pPr>
              <w:ind w:firstLine="360" w:firstLineChars="200"/>
              <w:rPr>
                <w:rFonts w:ascii="宋体" w:hAnsi="宋体" w:cs="宋体"/>
                <w:color w:val="auto"/>
                <w:sz w:val="18"/>
                <w:szCs w:val="18"/>
                <w:highlight w:val="none"/>
              </w:rPr>
            </w:pPr>
            <w:r>
              <w:rPr>
                <w:rFonts w:hint="eastAsia" w:ascii="宋体" w:hAnsi="宋体" w:cs="宋体"/>
                <w:color w:val="auto"/>
                <w:sz w:val="18"/>
                <w:szCs w:val="18"/>
                <w:highlight w:val="none"/>
              </w:rPr>
              <w:t>考核评价得分在90分（含）以上，评价等级为A级，按合同约定支付相应服务费；</w:t>
            </w:r>
          </w:p>
          <w:p>
            <w:pPr>
              <w:ind w:firstLine="360" w:firstLineChars="200"/>
              <w:rPr>
                <w:rFonts w:ascii="宋体" w:hAnsi="宋体" w:cs="宋体"/>
                <w:color w:val="auto"/>
                <w:sz w:val="18"/>
                <w:szCs w:val="18"/>
                <w:highlight w:val="none"/>
              </w:rPr>
            </w:pPr>
            <w:r>
              <w:rPr>
                <w:rFonts w:hint="eastAsia" w:ascii="宋体" w:hAnsi="宋体" w:cs="宋体"/>
                <w:color w:val="auto"/>
                <w:sz w:val="18"/>
                <w:szCs w:val="18"/>
                <w:highlight w:val="none"/>
              </w:rPr>
              <w:t>考核评价得分在80分（含）至90分以内，评价等级为B级，甲方视乙方对其存在问题整改情况，酌情扣除【1%-10%】作为处罚；</w:t>
            </w:r>
          </w:p>
          <w:p>
            <w:pPr>
              <w:widowControl/>
              <w:ind w:firstLine="360" w:firstLineChars="200"/>
              <w:jc w:val="left"/>
              <w:rPr>
                <w:rFonts w:cs="宋体"/>
                <w:color w:val="auto"/>
                <w:kern w:val="0"/>
                <w:szCs w:val="21"/>
                <w:highlight w:val="none"/>
              </w:rPr>
            </w:pPr>
            <w:r>
              <w:rPr>
                <w:rFonts w:hint="eastAsia" w:ascii="宋体" w:hAnsi="宋体" w:cs="宋体"/>
                <w:color w:val="auto"/>
                <w:sz w:val="18"/>
                <w:szCs w:val="18"/>
                <w:highlight w:val="none"/>
              </w:rPr>
              <w:t>考核评价得分在80分以下，评价等级为C级，款项原则上不予支付。但经甲方同意给予整改机会，并经重新考核评价在80分（含）以上的，按照前款执行；</w:t>
            </w:r>
          </w:p>
        </w:tc>
      </w:tr>
      <w:tr>
        <w:tblPrEx>
          <w:tblCellMar>
            <w:top w:w="0" w:type="dxa"/>
            <w:left w:w="108" w:type="dxa"/>
            <w:bottom w:w="0" w:type="dxa"/>
            <w:right w:w="108" w:type="dxa"/>
          </w:tblCellMar>
        </w:tblPrEx>
        <w:trPr>
          <w:cantSplit/>
          <w:trHeight w:val="285" w:hRule="atLeast"/>
        </w:trPr>
        <w:tc>
          <w:tcPr>
            <w:tcW w:w="411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4"/>
                <w:highlight w:val="none"/>
              </w:rPr>
            </w:pPr>
          </w:p>
        </w:tc>
        <w:tc>
          <w:tcPr>
            <w:tcW w:w="3755" w:type="dxa"/>
            <w:gridSpan w:val="2"/>
            <w:tcBorders>
              <w:top w:val="nil"/>
              <w:left w:val="nil"/>
              <w:bottom w:val="single" w:color="auto" w:sz="4" w:space="0"/>
              <w:right w:val="single" w:color="auto" w:sz="4" w:space="0"/>
            </w:tcBorders>
            <w:vAlign w:val="center"/>
          </w:tcPr>
          <w:p>
            <w:pPr>
              <w:widowControl/>
              <w:jc w:val="center"/>
              <w:rPr>
                <w:color w:val="auto"/>
                <w:kern w:val="0"/>
                <w:sz w:val="24"/>
                <w:highlight w:val="none"/>
              </w:rPr>
            </w:pPr>
          </w:p>
        </w:tc>
        <w:tc>
          <w:tcPr>
            <w:tcW w:w="1773" w:type="dxa"/>
            <w:vMerge w:val="continue"/>
            <w:tcBorders>
              <w:top w:val="nil"/>
              <w:left w:val="single" w:color="auto" w:sz="4" w:space="0"/>
              <w:right w:val="single" w:color="auto" w:sz="4" w:space="0"/>
            </w:tcBorders>
            <w:vAlign w:val="center"/>
          </w:tcPr>
          <w:p>
            <w:pPr>
              <w:widowControl/>
              <w:jc w:val="left"/>
              <w:rPr>
                <w:rFonts w:cs="宋体"/>
                <w:color w:val="auto"/>
                <w:kern w:val="0"/>
                <w:szCs w:val="21"/>
                <w:highlight w:val="none"/>
              </w:rPr>
            </w:pPr>
          </w:p>
        </w:tc>
      </w:tr>
      <w:tr>
        <w:tblPrEx>
          <w:tblCellMar>
            <w:top w:w="0" w:type="dxa"/>
            <w:left w:w="108" w:type="dxa"/>
            <w:bottom w:w="0" w:type="dxa"/>
            <w:right w:w="108" w:type="dxa"/>
          </w:tblCellMar>
        </w:tblPrEx>
        <w:trPr>
          <w:cantSplit/>
          <w:trHeight w:val="285" w:hRule="atLeast"/>
        </w:trPr>
        <w:tc>
          <w:tcPr>
            <w:tcW w:w="411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4"/>
                <w:highlight w:val="none"/>
              </w:rPr>
            </w:pPr>
          </w:p>
        </w:tc>
        <w:tc>
          <w:tcPr>
            <w:tcW w:w="3755" w:type="dxa"/>
            <w:gridSpan w:val="2"/>
            <w:tcBorders>
              <w:top w:val="nil"/>
              <w:left w:val="nil"/>
              <w:bottom w:val="single" w:color="auto" w:sz="4" w:space="0"/>
              <w:right w:val="single" w:color="auto" w:sz="4" w:space="0"/>
            </w:tcBorders>
            <w:vAlign w:val="center"/>
          </w:tcPr>
          <w:p>
            <w:pPr>
              <w:widowControl/>
              <w:jc w:val="center"/>
              <w:rPr>
                <w:color w:val="auto"/>
                <w:kern w:val="0"/>
                <w:sz w:val="24"/>
                <w:highlight w:val="none"/>
              </w:rPr>
            </w:pPr>
          </w:p>
        </w:tc>
        <w:tc>
          <w:tcPr>
            <w:tcW w:w="1773" w:type="dxa"/>
            <w:vMerge w:val="continue"/>
            <w:tcBorders>
              <w:left w:val="single" w:color="auto" w:sz="4" w:space="0"/>
              <w:right w:val="single" w:color="auto" w:sz="4" w:space="0"/>
            </w:tcBorders>
            <w:vAlign w:val="center"/>
          </w:tcPr>
          <w:p>
            <w:pPr>
              <w:widowControl/>
              <w:jc w:val="left"/>
              <w:rPr>
                <w:rFonts w:cs="宋体"/>
                <w:color w:val="auto"/>
                <w:kern w:val="0"/>
                <w:szCs w:val="21"/>
                <w:highlight w:val="none"/>
              </w:rPr>
            </w:pPr>
          </w:p>
        </w:tc>
      </w:tr>
      <w:tr>
        <w:tblPrEx>
          <w:tblCellMar>
            <w:top w:w="0" w:type="dxa"/>
            <w:left w:w="108" w:type="dxa"/>
            <w:bottom w:w="0" w:type="dxa"/>
            <w:right w:w="108" w:type="dxa"/>
          </w:tblCellMar>
        </w:tblPrEx>
        <w:trPr>
          <w:cantSplit/>
          <w:trHeight w:val="292" w:hRule="atLeast"/>
        </w:trPr>
        <w:tc>
          <w:tcPr>
            <w:tcW w:w="411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4"/>
                <w:highlight w:val="none"/>
              </w:rPr>
            </w:pPr>
          </w:p>
        </w:tc>
        <w:tc>
          <w:tcPr>
            <w:tcW w:w="3755" w:type="dxa"/>
            <w:gridSpan w:val="2"/>
            <w:tcBorders>
              <w:top w:val="nil"/>
              <w:left w:val="nil"/>
              <w:bottom w:val="single" w:color="auto" w:sz="4" w:space="0"/>
              <w:right w:val="single" w:color="auto" w:sz="4" w:space="0"/>
            </w:tcBorders>
            <w:vAlign w:val="center"/>
          </w:tcPr>
          <w:p>
            <w:pPr>
              <w:widowControl/>
              <w:jc w:val="center"/>
              <w:rPr>
                <w:color w:val="auto"/>
                <w:kern w:val="0"/>
                <w:sz w:val="24"/>
                <w:highlight w:val="none"/>
              </w:rPr>
            </w:pPr>
          </w:p>
        </w:tc>
        <w:tc>
          <w:tcPr>
            <w:tcW w:w="1773" w:type="dxa"/>
            <w:vMerge w:val="continue"/>
            <w:tcBorders>
              <w:left w:val="single" w:color="auto" w:sz="4" w:space="0"/>
              <w:right w:val="single" w:color="auto" w:sz="4" w:space="0"/>
            </w:tcBorders>
            <w:vAlign w:val="center"/>
          </w:tcPr>
          <w:p>
            <w:pPr>
              <w:widowControl/>
              <w:jc w:val="left"/>
              <w:rPr>
                <w:rFonts w:cs="宋体"/>
                <w:color w:val="auto"/>
                <w:kern w:val="0"/>
                <w:szCs w:val="21"/>
                <w:highlight w:val="none"/>
              </w:rPr>
            </w:pPr>
          </w:p>
        </w:tc>
      </w:tr>
      <w:tr>
        <w:tblPrEx>
          <w:tblCellMar>
            <w:top w:w="0" w:type="dxa"/>
            <w:left w:w="108" w:type="dxa"/>
            <w:bottom w:w="0" w:type="dxa"/>
            <w:right w:w="108" w:type="dxa"/>
          </w:tblCellMar>
        </w:tblPrEx>
        <w:trPr>
          <w:cantSplit/>
          <w:trHeight w:val="285" w:hRule="atLeast"/>
        </w:trPr>
        <w:tc>
          <w:tcPr>
            <w:tcW w:w="411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4"/>
                <w:highlight w:val="none"/>
              </w:rPr>
            </w:pPr>
          </w:p>
        </w:tc>
        <w:tc>
          <w:tcPr>
            <w:tcW w:w="3755" w:type="dxa"/>
            <w:gridSpan w:val="2"/>
            <w:tcBorders>
              <w:top w:val="nil"/>
              <w:left w:val="nil"/>
              <w:bottom w:val="single" w:color="auto" w:sz="4" w:space="0"/>
              <w:right w:val="single" w:color="auto" w:sz="4" w:space="0"/>
            </w:tcBorders>
            <w:vAlign w:val="center"/>
          </w:tcPr>
          <w:p>
            <w:pPr>
              <w:widowControl/>
              <w:jc w:val="center"/>
              <w:rPr>
                <w:color w:val="auto"/>
                <w:kern w:val="0"/>
                <w:sz w:val="24"/>
                <w:highlight w:val="none"/>
              </w:rPr>
            </w:pPr>
          </w:p>
        </w:tc>
        <w:tc>
          <w:tcPr>
            <w:tcW w:w="1773" w:type="dxa"/>
            <w:vMerge w:val="continue"/>
            <w:tcBorders>
              <w:left w:val="single" w:color="auto" w:sz="4" w:space="0"/>
              <w:right w:val="single" w:color="auto" w:sz="4" w:space="0"/>
            </w:tcBorders>
            <w:vAlign w:val="center"/>
          </w:tcPr>
          <w:p>
            <w:pPr>
              <w:widowControl/>
              <w:jc w:val="left"/>
              <w:rPr>
                <w:rFonts w:cs="宋体"/>
                <w:color w:val="auto"/>
                <w:kern w:val="0"/>
                <w:szCs w:val="21"/>
                <w:highlight w:val="none"/>
              </w:rPr>
            </w:pPr>
          </w:p>
        </w:tc>
      </w:tr>
      <w:tr>
        <w:tblPrEx>
          <w:tblCellMar>
            <w:top w:w="0" w:type="dxa"/>
            <w:left w:w="108" w:type="dxa"/>
            <w:bottom w:w="0" w:type="dxa"/>
            <w:right w:w="108" w:type="dxa"/>
          </w:tblCellMar>
        </w:tblPrEx>
        <w:trPr>
          <w:cantSplit/>
          <w:trHeight w:val="285" w:hRule="atLeast"/>
        </w:trPr>
        <w:tc>
          <w:tcPr>
            <w:tcW w:w="411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4"/>
                <w:highlight w:val="none"/>
              </w:rPr>
            </w:pPr>
          </w:p>
        </w:tc>
        <w:tc>
          <w:tcPr>
            <w:tcW w:w="3755" w:type="dxa"/>
            <w:gridSpan w:val="2"/>
            <w:tcBorders>
              <w:top w:val="nil"/>
              <w:left w:val="nil"/>
              <w:bottom w:val="single" w:color="auto" w:sz="4" w:space="0"/>
              <w:right w:val="single" w:color="auto" w:sz="4" w:space="0"/>
            </w:tcBorders>
            <w:vAlign w:val="center"/>
          </w:tcPr>
          <w:p>
            <w:pPr>
              <w:widowControl/>
              <w:jc w:val="center"/>
              <w:rPr>
                <w:color w:val="auto"/>
                <w:kern w:val="0"/>
                <w:sz w:val="24"/>
                <w:highlight w:val="none"/>
              </w:rPr>
            </w:pPr>
          </w:p>
        </w:tc>
        <w:tc>
          <w:tcPr>
            <w:tcW w:w="1773" w:type="dxa"/>
            <w:vMerge w:val="continue"/>
            <w:tcBorders>
              <w:left w:val="single" w:color="auto" w:sz="4" w:space="0"/>
              <w:right w:val="single" w:color="auto" w:sz="4" w:space="0"/>
            </w:tcBorders>
            <w:vAlign w:val="center"/>
          </w:tcPr>
          <w:p>
            <w:pPr>
              <w:widowControl/>
              <w:jc w:val="left"/>
              <w:rPr>
                <w:rFonts w:cs="宋体"/>
                <w:color w:val="auto"/>
                <w:kern w:val="0"/>
                <w:szCs w:val="21"/>
                <w:highlight w:val="none"/>
              </w:rPr>
            </w:pPr>
          </w:p>
        </w:tc>
      </w:tr>
      <w:tr>
        <w:tblPrEx>
          <w:tblCellMar>
            <w:top w:w="0" w:type="dxa"/>
            <w:left w:w="108" w:type="dxa"/>
            <w:bottom w:w="0" w:type="dxa"/>
            <w:right w:w="108" w:type="dxa"/>
          </w:tblCellMar>
        </w:tblPrEx>
        <w:trPr>
          <w:cantSplit/>
          <w:trHeight w:val="285" w:hRule="atLeast"/>
        </w:trPr>
        <w:tc>
          <w:tcPr>
            <w:tcW w:w="411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4"/>
                <w:highlight w:val="none"/>
              </w:rPr>
            </w:pPr>
          </w:p>
        </w:tc>
        <w:tc>
          <w:tcPr>
            <w:tcW w:w="3755" w:type="dxa"/>
            <w:gridSpan w:val="2"/>
            <w:tcBorders>
              <w:top w:val="nil"/>
              <w:left w:val="nil"/>
              <w:bottom w:val="single" w:color="auto" w:sz="4" w:space="0"/>
              <w:right w:val="single" w:color="auto" w:sz="4" w:space="0"/>
            </w:tcBorders>
            <w:vAlign w:val="center"/>
          </w:tcPr>
          <w:p>
            <w:pPr>
              <w:widowControl/>
              <w:jc w:val="center"/>
              <w:rPr>
                <w:color w:val="auto"/>
                <w:kern w:val="0"/>
                <w:sz w:val="24"/>
                <w:highlight w:val="none"/>
              </w:rPr>
            </w:pPr>
          </w:p>
        </w:tc>
        <w:tc>
          <w:tcPr>
            <w:tcW w:w="1773" w:type="dxa"/>
            <w:vMerge w:val="continue"/>
            <w:tcBorders>
              <w:left w:val="single" w:color="auto" w:sz="4" w:space="0"/>
              <w:right w:val="single" w:color="auto" w:sz="4" w:space="0"/>
            </w:tcBorders>
            <w:vAlign w:val="center"/>
          </w:tcPr>
          <w:p>
            <w:pPr>
              <w:widowControl/>
              <w:jc w:val="left"/>
              <w:rPr>
                <w:rFonts w:cs="宋体"/>
                <w:color w:val="auto"/>
                <w:kern w:val="0"/>
                <w:szCs w:val="21"/>
                <w:highlight w:val="none"/>
              </w:rPr>
            </w:pPr>
          </w:p>
        </w:tc>
      </w:tr>
      <w:tr>
        <w:tblPrEx>
          <w:tblCellMar>
            <w:top w:w="0" w:type="dxa"/>
            <w:left w:w="108" w:type="dxa"/>
            <w:bottom w:w="0" w:type="dxa"/>
            <w:right w:w="108" w:type="dxa"/>
          </w:tblCellMar>
        </w:tblPrEx>
        <w:trPr>
          <w:cantSplit/>
          <w:trHeight w:val="285" w:hRule="atLeast"/>
        </w:trPr>
        <w:tc>
          <w:tcPr>
            <w:tcW w:w="411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4"/>
                <w:highlight w:val="none"/>
              </w:rPr>
            </w:pPr>
          </w:p>
        </w:tc>
        <w:tc>
          <w:tcPr>
            <w:tcW w:w="3755" w:type="dxa"/>
            <w:gridSpan w:val="2"/>
            <w:tcBorders>
              <w:top w:val="nil"/>
              <w:left w:val="nil"/>
              <w:bottom w:val="single" w:color="auto" w:sz="4" w:space="0"/>
              <w:right w:val="single" w:color="auto" w:sz="4" w:space="0"/>
            </w:tcBorders>
            <w:vAlign w:val="center"/>
          </w:tcPr>
          <w:p>
            <w:pPr>
              <w:widowControl/>
              <w:jc w:val="center"/>
              <w:rPr>
                <w:color w:val="auto"/>
                <w:kern w:val="0"/>
                <w:sz w:val="24"/>
                <w:highlight w:val="none"/>
              </w:rPr>
            </w:pPr>
          </w:p>
        </w:tc>
        <w:tc>
          <w:tcPr>
            <w:tcW w:w="1773" w:type="dxa"/>
            <w:vMerge w:val="continue"/>
            <w:tcBorders>
              <w:left w:val="single" w:color="auto" w:sz="4" w:space="0"/>
              <w:right w:val="single" w:color="auto" w:sz="4" w:space="0"/>
            </w:tcBorders>
            <w:vAlign w:val="center"/>
          </w:tcPr>
          <w:p>
            <w:pPr>
              <w:widowControl/>
              <w:jc w:val="left"/>
              <w:rPr>
                <w:rFonts w:cs="宋体"/>
                <w:color w:val="auto"/>
                <w:kern w:val="0"/>
                <w:szCs w:val="21"/>
                <w:highlight w:val="none"/>
              </w:rPr>
            </w:pPr>
          </w:p>
        </w:tc>
      </w:tr>
      <w:tr>
        <w:tblPrEx>
          <w:tblCellMar>
            <w:top w:w="0" w:type="dxa"/>
            <w:left w:w="108" w:type="dxa"/>
            <w:bottom w:w="0" w:type="dxa"/>
            <w:right w:w="108" w:type="dxa"/>
          </w:tblCellMar>
        </w:tblPrEx>
        <w:trPr>
          <w:cantSplit/>
          <w:trHeight w:val="285" w:hRule="atLeast"/>
        </w:trPr>
        <w:tc>
          <w:tcPr>
            <w:tcW w:w="411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cs="宋体"/>
                <w:b/>
                <w:bCs/>
                <w:color w:val="auto"/>
                <w:kern w:val="0"/>
                <w:sz w:val="24"/>
                <w:highlight w:val="none"/>
              </w:rPr>
            </w:pPr>
            <w:r>
              <w:rPr>
                <w:rFonts w:hint="eastAsia" w:cs="宋体"/>
                <w:b/>
                <w:bCs/>
                <w:color w:val="auto"/>
                <w:kern w:val="0"/>
                <w:sz w:val="24"/>
                <w:highlight w:val="none"/>
              </w:rPr>
              <w:t>考核评价得分</w:t>
            </w:r>
          </w:p>
        </w:tc>
        <w:tc>
          <w:tcPr>
            <w:tcW w:w="3755" w:type="dxa"/>
            <w:gridSpan w:val="2"/>
            <w:tcBorders>
              <w:top w:val="single" w:color="auto" w:sz="4" w:space="0"/>
              <w:left w:val="nil"/>
              <w:bottom w:val="single" w:color="auto" w:sz="4" w:space="0"/>
              <w:right w:val="single" w:color="auto" w:sz="4" w:space="0"/>
            </w:tcBorders>
            <w:vAlign w:val="center"/>
          </w:tcPr>
          <w:p>
            <w:pPr>
              <w:widowControl/>
              <w:jc w:val="center"/>
              <w:rPr>
                <w:rFonts w:cs="宋体"/>
                <w:color w:val="auto"/>
                <w:kern w:val="0"/>
                <w:sz w:val="24"/>
                <w:highlight w:val="none"/>
              </w:rPr>
            </w:pPr>
          </w:p>
        </w:tc>
        <w:tc>
          <w:tcPr>
            <w:tcW w:w="1773" w:type="dxa"/>
            <w:vMerge w:val="continue"/>
            <w:tcBorders>
              <w:left w:val="single" w:color="auto" w:sz="4" w:space="0"/>
              <w:right w:val="single" w:color="auto" w:sz="4" w:space="0"/>
            </w:tcBorders>
            <w:vAlign w:val="center"/>
          </w:tcPr>
          <w:p>
            <w:pPr>
              <w:widowControl/>
              <w:jc w:val="left"/>
              <w:rPr>
                <w:rFonts w:cs="宋体"/>
                <w:color w:val="auto"/>
                <w:kern w:val="0"/>
                <w:szCs w:val="21"/>
                <w:highlight w:val="none"/>
              </w:rPr>
            </w:pPr>
          </w:p>
        </w:tc>
      </w:tr>
      <w:tr>
        <w:tblPrEx>
          <w:tblCellMar>
            <w:top w:w="0" w:type="dxa"/>
            <w:left w:w="108" w:type="dxa"/>
            <w:bottom w:w="0" w:type="dxa"/>
            <w:right w:w="108" w:type="dxa"/>
          </w:tblCellMar>
        </w:tblPrEx>
        <w:trPr>
          <w:cantSplit/>
          <w:trHeight w:val="1895" w:hRule="atLeast"/>
        </w:trPr>
        <w:tc>
          <w:tcPr>
            <w:tcW w:w="7867" w:type="dxa"/>
            <w:gridSpan w:val="4"/>
            <w:tcBorders>
              <w:top w:val="single" w:color="auto" w:sz="4" w:space="0"/>
              <w:left w:val="single" w:color="auto" w:sz="4" w:space="0"/>
              <w:bottom w:val="single" w:color="000000" w:sz="4" w:space="0"/>
              <w:right w:val="single" w:color="000000" w:sz="4" w:space="0"/>
            </w:tcBorders>
          </w:tcPr>
          <w:p>
            <w:pPr>
              <w:widowControl/>
              <w:jc w:val="left"/>
              <w:rPr>
                <w:rFonts w:cs="宋体"/>
                <w:color w:val="auto"/>
                <w:kern w:val="0"/>
                <w:sz w:val="24"/>
                <w:highlight w:val="none"/>
              </w:rPr>
            </w:pPr>
            <w:r>
              <w:rPr>
                <w:rFonts w:hint="eastAsia" w:cs="宋体"/>
                <w:color w:val="auto"/>
                <w:kern w:val="0"/>
                <w:sz w:val="24"/>
                <w:highlight w:val="none"/>
              </w:rPr>
              <w:t>考核评价意见：</w:t>
            </w:r>
          </w:p>
          <w:p>
            <w:pPr>
              <w:widowControl/>
              <w:jc w:val="left"/>
              <w:rPr>
                <w:rFonts w:cs="宋体"/>
                <w:color w:val="auto"/>
                <w:kern w:val="0"/>
                <w:sz w:val="24"/>
                <w:highlight w:val="none"/>
              </w:rPr>
            </w:pPr>
          </w:p>
          <w:p>
            <w:pPr>
              <w:widowControl/>
              <w:jc w:val="left"/>
              <w:rPr>
                <w:rFonts w:cs="宋体"/>
                <w:color w:val="auto"/>
                <w:kern w:val="0"/>
                <w:sz w:val="24"/>
                <w:highlight w:val="none"/>
              </w:rPr>
            </w:pPr>
          </w:p>
          <w:p>
            <w:pPr>
              <w:widowControl/>
              <w:jc w:val="left"/>
              <w:rPr>
                <w:rFonts w:cs="宋体"/>
                <w:color w:val="auto"/>
                <w:kern w:val="0"/>
                <w:sz w:val="24"/>
                <w:highlight w:val="none"/>
              </w:rPr>
            </w:pPr>
          </w:p>
          <w:p>
            <w:pPr>
              <w:widowControl/>
              <w:jc w:val="left"/>
              <w:rPr>
                <w:rFonts w:cs="宋体"/>
                <w:color w:val="auto"/>
                <w:kern w:val="0"/>
                <w:sz w:val="24"/>
                <w:highlight w:val="none"/>
              </w:rPr>
            </w:pPr>
          </w:p>
          <w:p>
            <w:pPr>
              <w:widowControl/>
              <w:jc w:val="left"/>
              <w:rPr>
                <w:rFonts w:cs="宋体"/>
                <w:color w:val="auto"/>
                <w:kern w:val="0"/>
                <w:sz w:val="24"/>
                <w:highlight w:val="none"/>
              </w:rPr>
            </w:pPr>
          </w:p>
          <w:p>
            <w:pPr>
              <w:widowControl/>
              <w:jc w:val="left"/>
              <w:rPr>
                <w:rFonts w:cs="宋体"/>
                <w:color w:val="auto"/>
                <w:kern w:val="0"/>
                <w:sz w:val="24"/>
                <w:highlight w:val="none"/>
              </w:rPr>
            </w:pPr>
            <w:r>
              <w:rPr>
                <w:rFonts w:hint="eastAsia" w:cs="宋体"/>
                <w:color w:val="auto"/>
                <w:kern w:val="0"/>
                <w:sz w:val="24"/>
                <w:highlight w:val="none"/>
              </w:rPr>
              <w:t>考核评价小组成员签字：                      考核评价小组组长签字：</w:t>
            </w:r>
          </w:p>
        </w:tc>
        <w:tc>
          <w:tcPr>
            <w:tcW w:w="1773" w:type="dxa"/>
            <w:vMerge w:val="continue"/>
            <w:tcBorders>
              <w:left w:val="single" w:color="auto" w:sz="4" w:space="0"/>
              <w:bottom w:val="nil"/>
              <w:right w:val="single" w:color="auto" w:sz="4" w:space="0"/>
            </w:tcBorders>
            <w:vAlign w:val="center"/>
          </w:tcPr>
          <w:p>
            <w:pPr>
              <w:widowControl/>
              <w:jc w:val="left"/>
              <w:rPr>
                <w:rFonts w:cs="宋体"/>
                <w:color w:val="auto"/>
                <w:kern w:val="0"/>
                <w:szCs w:val="21"/>
                <w:highlight w:val="none"/>
              </w:rPr>
            </w:pPr>
          </w:p>
        </w:tc>
      </w:tr>
      <w:tr>
        <w:tblPrEx>
          <w:tblCellMar>
            <w:top w:w="0" w:type="dxa"/>
            <w:left w:w="108" w:type="dxa"/>
            <w:bottom w:w="0" w:type="dxa"/>
            <w:right w:w="108" w:type="dxa"/>
          </w:tblCellMar>
        </w:tblPrEx>
        <w:trPr>
          <w:cantSplit/>
          <w:trHeight w:val="70" w:hRule="atLeast"/>
        </w:trPr>
        <w:tc>
          <w:tcPr>
            <w:tcW w:w="1360" w:type="dxa"/>
            <w:tcBorders>
              <w:top w:val="nil"/>
              <w:left w:val="single" w:color="auto" w:sz="4" w:space="0"/>
              <w:bottom w:val="single" w:color="auto" w:sz="4" w:space="0"/>
              <w:right w:val="single" w:color="auto" w:sz="4" w:space="0"/>
            </w:tcBorders>
            <w:vAlign w:val="center"/>
          </w:tcPr>
          <w:p>
            <w:pPr>
              <w:widowControl/>
              <w:jc w:val="left"/>
              <w:rPr>
                <w:rFonts w:cs="宋体"/>
                <w:color w:val="auto"/>
                <w:kern w:val="0"/>
                <w:sz w:val="24"/>
                <w:highlight w:val="none"/>
              </w:rPr>
            </w:pPr>
            <w:r>
              <w:rPr>
                <w:rFonts w:hint="eastAsia" w:cs="宋体"/>
                <w:color w:val="auto"/>
                <w:kern w:val="0"/>
                <w:sz w:val="24"/>
                <w:highlight w:val="none"/>
              </w:rPr>
              <w:t>评价等级：</w:t>
            </w:r>
          </w:p>
        </w:tc>
        <w:tc>
          <w:tcPr>
            <w:tcW w:w="6507" w:type="dxa"/>
            <w:gridSpan w:val="3"/>
            <w:tcBorders>
              <w:top w:val="single" w:color="auto" w:sz="4" w:space="0"/>
              <w:left w:val="nil"/>
              <w:bottom w:val="single" w:color="auto" w:sz="4" w:space="0"/>
              <w:right w:val="single" w:color="auto" w:sz="4" w:space="0"/>
            </w:tcBorders>
            <w:vAlign w:val="center"/>
          </w:tcPr>
          <w:p>
            <w:pPr>
              <w:widowControl/>
              <w:jc w:val="center"/>
              <w:rPr>
                <w:rFonts w:cs="宋体"/>
                <w:color w:val="auto"/>
                <w:kern w:val="0"/>
                <w:sz w:val="24"/>
                <w:highlight w:val="none"/>
              </w:rPr>
            </w:pPr>
            <w:r>
              <w:rPr>
                <w:rFonts w:hint="eastAsia" w:cs="宋体"/>
                <w:color w:val="auto"/>
                <w:kern w:val="0"/>
                <w:sz w:val="24"/>
                <w:highlight w:val="none"/>
              </w:rPr>
              <w:t>□ A 级      □ B级       □ C级</w:t>
            </w:r>
          </w:p>
        </w:tc>
        <w:tc>
          <w:tcPr>
            <w:tcW w:w="1773" w:type="dxa"/>
            <w:vMerge w:val="continue"/>
            <w:tcBorders>
              <w:left w:val="single" w:color="auto" w:sz="4" w:space="0"/>
              <w:bottom w:val="single" w:color="000000" w:sz="4" w:space="0"/>
              <w:right w:val="single" w:color="auto" w:sz="4" w:space="0"/>
            </w:tcBorders>
            <w:vAlign w:val="center"/>
          </w:tcPr>
          <w:p>
            <w:pPr>
              <w:widowControl/>
              <w:jc w:val="left"/>
              <w:rPr>
                <w:rFonts w:cs="宋体"/>
                <w:color w:val="auto"/>
                <w:kern w:val="0"/>
                <w:sz w:val="24"/>
                <w:highlight w:val="none"/>
              </w:rPr>
            </w:pPr>
          </w:p>
        </w:tc>
      </w:tr>
      <w:tr>
        <w:tblPrEx>
          <w:tblCellMar>
            <w:top w:w="0" w:type="dxa"/>
            <w:left w:w="108" w:type="dxa"/>
            <w:bottom w:w="0" w:type="dxa"/>
            <w:right w:w="108" w:type="dxa"/>
          </w:tblCellMar>
        </w:tblPrEx>
        <w:trPr>
          <w:cantSplit/>
          <w:trHeight w:val="489" w:hRule="atLeast"/>
        </w:trPr>
        <w:tc>
          <w:tcPr>
            <w:tcW w:w="5512" w:type="dxa"/>
            <w:gridSpan w:val="3"/>
            <w:vMerge w:val="restart"/>
            <w:tcBorders>
              <w:top w:val="single" w:color="auto" w:sz="4" w:space="0"/>
              <w:left w:val="nil"/>
              <w:bottom w:val="nil"/>
              <w:right w:val="nil"/>
            </w:tcBorders>
          </w:tcPr>
          <w:p>
            <w:pPr>
              <w:widowControl/>
              <w:jc w:val="left"/>
              <w:rPr>
                <w:rFonts w:cs="宋体"/>
                <w:color w:val="auto"/>
                <w:kern w:val="0"/>
                <w:sz w:val="24"/>
                <w:highlight w:val="none"/>
              </w:rPr>
            </w:pPr>
            <w:r>
              <w:rPr>
                <w:color w:val="auto"/>
                <w:kern w:val="0"/>
                <w:sz w:val="24"/>
                <w:highlight w:val="none"/>
              </w:rPr>
              <w:t>甲方</w:t>
            </w:r>
            <w:r>
              <w:rPr>
                <w:rFonts w:hint="eastAsia"/>
                <w:color w:val="auto"/>
                <w:kern w:val="0"/>
                <w:sz w:val="24"/>
                <w:highlight w:val="none"/>
              </w:rPr>
              <w:t>考核评价</w:t>
            </w:r>
            <w:r>
              <w:rPr>
                <w:color w:val="auto"/>
                <w:kern w:val="0"/>
                <w:sz w:val="24"/>
                <w:highlight w:val="none"/>
              </w:rPr>
              <w:t>部门</w:t>
            </w:r>
            <w:r>
              <w:rPr>
                <w:rFonts w:hint="eastAsia"/>
                <w:color w:val="auto"/>
                <w:kern w:val="0"/>
                <w:sz w:val="24"/>
                <w:highlight w:val="none"/>
              </w:rPr>
              <w:t>负责人</w:t>
            </w:r>
            <w:r>
              <w:rPr>
                <w:color w:val="auto"/>
                <w:kern w:val="0"/>
                <w:sz w:val="24"/>
                <w:highlight w:val="none"/>
              </w:rPr>
              <w:t>签字：</w:t>
            </w:r>
          </w:p>
        </w:tc>
        <w:tc>
          <w:tcPr>
            <w:tcW w:w="4128" w:type="dxa"/>
            <w:gridSpan w:val="2"/>
            <w:vMerge w:val="restart"/>
            <w:tcBorders>
              <w:top w:val="single" w:color="auto" w:sz="4" w:space="0"/>
              <w:left w:val="nil"/>
              <w:bottom w:val="nil"/>
              <w:right w:val="nil"/>
            </w:tcBorders>
          </w:tcPr>
          <w:p>
            <w:pPr>
              <w:widowControl/>
              <w:jc w:val="left"/>
              <w:rPr>
                <w:rFonts w:cs="宋体"/>
                <w:color w:val="auto"/>
                <w:kern w:val="0"/>
                <w:szCs w:val="21"/>
                <w:highlight w:val="none"/>
              </w:rPr>
            </w:pPr>
          </w:p>
        </w:tc>
      </w:tr>
      <w:tr>
        <w:tblPrEx>
          <w:tblCellMar>
            <w:top w:w="0" w:type="dxa"/>
            <w:left w:w="108" w:type="dxa"/>
            <w:bottom w:w="0" w:type="dxa"/>
            <w:right w:w="108" w:type="dxa"/>
          </w:tblCellMar>
        </w:tblPrEx>
        <w:trPr>
          <w:cantSplit/>
          <w:trHeight w:val="624" w:hRule="atLeast"/>
        </w:trPr>
        <w:tc>
          <w:tcPr>
            <w:tcW w:w="5512" w:type="dxa"/>
            <w:gridSpan w:val="3"/>
            <w:vMerge w:val="continue"/>
            <w:tcBorders>
              <w:top w:val="single" w:color="auto" w:sz="4" w:space="0"/>
              <w:left w:val="nil"/>
              <w:bottom w:val="nil"/>
              <w:right w:val="nil"/>
            </w:tcBorders>
            <w:vAlign w:val="center"/>
          </w:tcPr>
          <w:p>
            <w:pPr>
              <w:widowControl/>
              <w:jc w:val="left"/>
              <w:rPr>
                <w:rFonts w:cs="宋体"/>
                <w:color w:val="auto"/>
                <w:kern w:val="0"/>
                <w:szCs w:val="21"/>
                <w:highlight w:val="none"/>
              </w:rPr>
            </w:pPr>
          </w:p>
        </w:tc>
        <w:tc>
          <w:tcPr>
            <w:tcW w:w="4128" w:type="dxa"/>
            <w:gridSpan w:val="2"/>
            <w:vMerge w:val="continue"/>
            <w:tcBorders>
              <w:top w:val="single" w:color="auto" w:sz="4" w:space="0"/>
              <w:left w:val="nil"/>
              <w:bottom w:val="nil"/>
              <w:right w:val="nil"/>
            </w:tcBorders>
            <w:vAlign w:val="center"/>
          </w:tcPr>
          <w:p>
            <w:pPr>
              <w:widowControl/>
              <w:jc w:val="left"/>
              <w:rPr>
                <w:rFonts w:cs="宋体"/>
                <w:color w:val="auto"/>
                <w:kern w:val="0"/>
                <w:szCs w:val="21"/>
                <w:highlight w:val="none"/>
              </w:rPr>
            </w:pPr>
          </w:p>
        </w:tc>
      </w:tr>
      <w:tr>
        <w:tblPrEx>
          <w:tblCellMar>
            <w:top w:w="0" w:type="dxa"/>
            <w:left w:w="108" w:type="dxa"/>
            <w:bottom w:w="0" w:type="dxa"/>
            <w:right w:w="108" w:type="dxa"/>
          </w:tblCellMar>
        </w:tblPrEx>
        <w:trPr>
          <w:trHeight w:val="2191" w:hRule="atLeast"/>
        </w:trPr>
        <w:tc>
          <w:tcPr>
            <w:tcW w:w="5512" w:type="dxa"/>
            <w:gridSpan w:val="3"/>
            <w:tcBorders>
              <w:top w:val="nil"/>
              <w:left w:val="nil"/>
              <w:right w:val="nil"/>
            </w:tcBorders>
          </w:tcPr>
          <w:p>
            <w:pPr>
              <w:rPr>
                <w:rFonts w:cs="宋体"/>
                <w:color w:val="auto"/>
                <w:kern w:val="0"/>
                <w:sz w:val="24"/>
                <w:highlight w:val="none"/>
              </w:rPr>
            </w:pPr>
          </w:p>
          <w:p>
            <w:pPr>
              <w:ind w:left="-80" w:leftChars="-38"/>
              <w:rPr>
                <w:rFonts w:cs="宋体"/>
                <w:color w:val="auto"/>
                <w:kern w:val="0"/>
                <w:sz w:val="24"/>
                <w:highlight w:val="none"/>
              </w:rPr>
            </w:pPr>
            <w:r>
              <w:rPr>
                <w:color w:val="auto"/>
                <w:kern w:val="0"/>
                <w:sz w:val="24"/>
                <w:highlight w:val="none"/>
              </w:rPr>
              <w:t>甲方</w:t>
            </w:r>
            <w:r>
              <w:rPr>
                <w:rFonts w:hint="eastAsia"/>
                <w:color w:val="auto"/>
                <w:kern w:val="0"/>
                <w:sz w:val="24"/>
                <w:highlight w:val="none"/>
              </w:rPr>
              <w:t>考核评价</w:t>
            </w:r>
            <w:r>
              <w:rPr>
                <w:color w:val="auto"/>
                <w:kern w:val="0"/>
                <w:sz w:val="24"/>
                <w:highlight w:val="none"/>
              </w:rPr>
              <w:t>部门</w:t>
            </w:r>
            <w:r>
              <w:rPr>
                <w:rFonts w:hint="eastAsia"/>
                <w:color w:val="auto"/>
                <w:kern w:val="0"/>
                <w:sz w:val="24"/>
                <w:highlight w:val="none"/>
              </w:rPr>
              <w:t>公</w:t>
            </w:r>
            <w:r>
              <w:rPr>
                <w:color w:val="auto"/>
                <w:kern w:val="0"/>
                <w:sz w:val="24"/>
                <w:highlight w:val="none"/>
              </w:rPr>
              <w:t>章：</w:t>
            </w:r>
          </w:p>
        </w:tc>
        <w:tc>
          <w:tcPr>
            <w:tcW w:w="4128" w:type="dxa"/>
            <w:gridSpan w:val="2"/>
            <w:tcBorders>
              <w:top w:val="nil"/>
              <w:left w:val="nil"/>
              <w:bottom w:val="nil"/>
              <w:right w:val="nil"/>
            </w:tcBorders>
          </w:tcPr>
          <w:p>
            <w:pPr>
              <w:widowControl/>
              <w:rPr>
                <w:rFonts w:cs="宋体"/>
                <w:color w:val="auto"/>
                <w:kern w:val="0"/>
                <w:sz w:val="24"/>
                <w:highlight w:val="none"/>
              </w:rPr>
            </w:pPr>
          </w:p>
        </w:tc>
      </w:tr>
    </w:tbl>
    <w:p>
      <w:pPr>
        <w:autoSpaceDE w:val="0"/>
        <w:autoSpaceDN w:val="0"/>
        <w:adjustRightInd w:val="0"/>
        <w:spacing w:before="100" w:beforeAutospacing="1" w:after="100" w:afterAutospacing="1" w:line="360" w:lineRule="auto"/>
        <w:rPr>
          <w:rFonts w:ascii="Arial" w:hAnsi="Arial" w:eastAsia="黑体" w:cs="Arial"/>
          <w:b/>
          <w:color w:val="auto"/>
          <w:kern w:val="0"/>
          <w:szCs w:val="21"/>
          <w:highlight w:val="none"/>
          <w:u w:val="single"/>
        </w:rPr>
      </w:pPr>
      <w:r>
        <w:rPr>
          <w:rFonts w:hint="eastAsia"/>
          <w:color w:val="auto"/>
          <w:sz w:val="24"/>
          <w:highlight w:val="none"/>
        </w:rPr>
        <w:t>注：本表一式三份，一份由考核评价部门留存；一份由考核评价部门报送采购部门留存；一份由考核评价部门申请付款时报财务部门留存</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rPr>
        <w:rStyle w:val="21"/>
      </w:rPr>
      <w:instrText xml:space="preserve"> PAGE </w:instrText>
    </w:r>
    <w:r>
      <w:fldChar w:fldCharType="separate"/>
    </w:r>
    <w:r>
      <w:rPr>
        <w:rStyle w:val="21"/>
      </w:rPr>
      <w:t>15</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kZGY5ZGVjMzc2Y2YyYmFjYzZhOTlkODc2NjE5MWQifQ=="/>
  </w:docVars>
  <w:rsids>
    <w:rsidRoot w:val="00227431"/>
    <w:rsid w:val="00011A51"/>
    <w:rsid w:val="0003189D"/>
    <w:rsid w:val="00042ED9"/>
    <w:rsid w:val="00043BF8"/>
    <w:rsid w:val="00045AA5"/>
    <w:rsid w:val="00045E0B"/>
    <w:rsid w:val="000565EB"/>
    <w:rsid w:val="0005765C"/>
    <w:rsid w:val="00065527"/>
    <w:rsid w:val="00066980"/>
    <w:rsid w:val="00074C84"/>
    <w:rsid w:val="00080E07"/>
    <w:rsid w:val="00084728"/>
    <w:rsid w:val="00094C0B"/>
    <w:rsid w:val="000A3E6D"/>
    <w:rsid w:val="000A491F"/>
    <w:rsid w:val="000B476A"/>
    <w:rsid w:val="000B55FF"/>
    <w:rsid w:val="000B7062"/>
    <w:rsid w:val="000C2F33"/>
    <w:rsid w:val="000C4721"/>
    <w:rsid w:val="000C756D"/>
    <w:rsid w:val="000D44C1"/>
    <w:rsid w:val="000D7E4F"/>
    <w:rsid w:val="000E652B"/>
    <w:rsid w:val="000F366C"/>
    <w:rsid w:val="001127D9"/>
    <w:rsid w:val="00117509"/>
    <w:rsid w:val="001355AF"/>
    <w:rsid w:val="00137B1D"/>
    <w:rsid w:val="0014187F"/>
    <w:rsid w:val="00151B73"/>
    <w:rsid w:val="00167353"/>
    <w:rsid w:val="0017222B"/>
    <w:rsid w:val="001803D7"/>
    <w:rsid w:val="00190BD0"/>
    <w:rsid w:val="00195395"/>
    <w:rsid w:val="001A1F29"/>
    <w:rsid w:val="001A368F"/>
    <w:rsid w:val="001B1E80"/>
    <w:rsid w:val="001C1D14"/>
    <w:rsid w:val="001C265F"/>
    <w:rsid w:val="001C5B8E"/>
    <w:rsid w:val="001E0EA8"/>
    <w:rsid w:val="001F48F5"/>
    <w:rsid w:val="001F581C"/>
    <w:rsid w:val="001F743E"/>
    <w:rsid w:val="0020361E"/>
    <w:rsid w:val="00205859"/>
    <w:rsid w:val="0021256C"/>
    <w:rsid w:val="00221708"/>
    <w:rsid w:val="00224C62"/>
    <w:rsid w:val="00227431"/>
    <w:rsid w:val="00237E6E"/>
    <w:rsid w:val="00242776"/>
    <w:rsid w:val="002453AE"/>
    <w:rsid w:val="00250A6D"/>
    <w:rsid w:val="00260933"/>
    <w:rsid w:val="00263549"/>
    <w:rsid w:val="00266E96"/>
    <w:rsid w:val="00282610"/>
    <w:rsid w:val="00286967"/>
    <w:rsid w:val="002911B0"/>
    <w:rsid w:val="00295C34"/>
    <w:rsid w:val="002A487B"/>
    <w:rsid w:val="002B2397"/>
    <w:rsid w:val="002B32D2"/>
    <w:rsid w:val="002C329F"/>
    <w:rsid w:val="002C35EF"/>
    <w:rsid w:val="002D0290"/>
    <w:rsid w:val="002D5D1C"/>
    <w:rsid w:val="002D7134"/>
    <w:rsid w:val="002E3356"/>
    <w:rsid w:val="002E4766"/>
    <w:rsid w:val="002F7FF3"/>
    <w:rsid w:val="003100A9"/>
    <w:rsid w:val="003265B2"/>
    <w:rsid w:val="00326F66"/>
    <w:rsid w:val="0033532B"/>
    <w:rsid w:val="003355F5"/>
    <w:rsid w:val="00340AD7"/>
    <w:rsid w:val="00340D97"/>
    <w:rsid w:val="003411B8"/>
    <w:rsid w:val="0034213C"/>
    <w:rsid w:val="00346AA4"/>
    <w:rsid w:val="003612BB"/>
    <w:rsid w:val="0036191C"/>
    <w:rsid w:val="00370A25"/>
    <w:rsid w:val="00373F13"/>
    <w:rsid w:val="003840FE"/>
    <w:rsid w:val="00394011"/>
    <w:rsid w:val="0039567B"/>
    <w:rsid w:val="003D25DE"/>
    <w:rsid w:val="003D2B45"/>
    <w:rsid w:val="003D3CAB"/>
    <w:rsid w:val="003D7FF9"/>
    <w:rsid w:val="003E7649"/>
    <w:rsid w:val="003F279A"/>
    <w:rsid w:val="003F2BE7"/>
    <w:rsid w:val="003F70F0"/>
    <w:rsid w:val="00404D81"/>
    <w:rsid w:val="004143C7"/>
    <w:rsid w:val="00424F73"/>
    <w:rsid w:val="004251F0"/>
    <w:rsid w:val="00427021"/>
    <w:rsid w:val="00427F71"/>
    <w:rsid w:val="004422C4"/>
    <w:rsid w:val="004549DD"/>
    <w:rsid w:val="004632CD"/>
    <w:rsid w:val="00466756"/>
    <w:rsid w:val="00474119"/>
    <w:rsid w:val="004751CE"/>
    <w:rsid w:val="0048473E"/>
    <w:rsid w:val="00487D00"/>
    <w:rsid w:val="004945E8"/>
    <w:rsid w:val="004B043D"/>
    <w:rsid w:val="004B3ECE"/>
    <w:rsid w:val="004C71B6"/>
    <w:rsid w:val="004F38BE"/>
    <w:rsid w:val="00503C91"/>
    <w:rsid w:val="00517C4B"/>
    <w:rsid w:val="00523FC5"/>
    <w:rsid w:val="005240AF"/>
    <w:rsid w:val="00524A28"/>
    <w:rsid w:val="00535259"/>
    <w:rsid w:val="005373B6"/>
    <w:rsid w:val="00540485"/>
    <w:rsid w:val="00552ED1"/>
    <w:rsid w:val="00562FCB"/>
    <w:rsid w:val="005776CB"/>
    <w:rsid w:val="0058256E"/>
    <w:rsid w:val="00587C51"/>
    <w:rsid w:val="005902A3"/>
    <w:rsid w:val="005976E9"/>
    <w:rsid w:val="005A7BC4"/>
    <w:rsid w:val="005B4FA9"/>
    <w:rsid w:val="005C094C"/>
    <w:rsid w:val="005C341A"/>
    <w:rsid w:val="005C6010"/>
    <w:rsid w:val="005D09FB"/>
    <w:rsid w:val="005D23F1"/>
    <w:rsid w:val="005D5D1A"/>
    <w:rsid w:val="005E2AC8"/>
    <w:rsid w:val="005F236A"/>
    <w:rsid w:val="005F26D0"/>
    <w:rsid w:val="00603372"/>
    <w:rsid w:val="00612B93"/>
    <w:rsid w:val="00621402"/>
    <w:rsid w:val="006223D4"/>
    <w:rsid w:val="006345A7"/>
    <w:rsid w:val="00637178"/>
    <w:rsid w:val="00645309"/>
    <w:rsid w:val="00645A34"/>
    <w:rsid w:val="00645E66"/>
    <w:rsid w:val="00652C7A"/>
    <w:rsid w:val="00675D6F"/>
    <w:rsid w:val="00681278"/>
    <w:rsid w:val="00682121"/>
    <w:rsid w:val="00685E3C"/>
    <w:rsid w:val="00692DE2"/>
    <w:rsid w:val="006A35FC"/>
    <w:rsid w:val="006A66F5"/>
    <w:rsid w:val="006B4162"/>
    <w:rsid w:val="006D4241"/>
    <w:rsid w:val="006F2023"/>
    <w:rsid w:val="007055F2"/>
    <w:rsid w:val="00711FF2"/>
    <w:rsid w:val="0071590B"/>
    <w:rsid w:val="00716448"/>
    <w:rsid w:val="00721360"/>
    <w:rsid w:val="00722A16"/>
    <w:rsid w:val="0072307C"/>
    <w:rsid w:val="0072655A"/>
    <w:rsid w:val="00732F83"/>
    <w:rsid w:val="007602DB"/>
    <w:rsid w:val="00762517"/>
    <w:rsid w:val="00780E73"/>
    <w:rsid w:val="0078345E"/>
    <w:rsid w:val="007921BE"/>
    <w:rsid w:val="007950D9"/>
    <w:rsid w:val="007B3BD6"/>
    <w:rsid w:val="007B5AA1"/>
    <w:rsid w:val="007C6DB4"/>
    <w:rsid w:val="007D30E2"/>
    <w:rsid w:val="007D4355"/>
    <w:rsid w:val="007E29C6"/>
    <w:rsid w:val="007E443E"/>
    <w:rsid w:val="007F571B"/>
    <w:rsid w:val="00801042"/>
    <w:rsid w:val="0080389B"/>
    <w:rsid w:val="00824DBB"/>
    <w:rsid w:val="00824F95"/>
    <w:rsid w:val="008340A6"/>
    <w:rsid w:val="00835651"/>
    <w:rsid w:val="008432B9"/>
    <w:rsid w:val="008531FE"/>
    <w:rsid w:val="00854EC3"/>
    <w:rsid w:val="008625FF"/>
    <w:rsid w:val="008702F5"/>
    <w:rsid w:val="00886CC5"/>
    <w:rsid w:val="00891255"/>
    <w:rsid w:val="008935DD"/>
    <w:rsid w:val="008A45E8"/>
    <w:rsid w:val="008A7D49"/>
    <w:rsid w:val="008B7DB4"/>
    <w:rsid w:val="008C33ED"/>
    <w:rsid w:val="008D33EB"/>
    <w:rsid w:val="008D42EB"/>
    <w:rsid w:val="008E4E74"/>
    <w:rsid w:val="008F6EF4"/>
    <w:rsid w:val="00917A58"/>
    <w:rsid w:val="00925B1E"/>
    <w:rsid w:val="00927634"/>
    <w:rsid w:val="00943D8F"/>
    <w:rsid w:val="00952946"/>
    <w:rsid w:val="00961B50"/>
    <w:rsid w:val="00963AA3"/>
    <w:rsid w:val="00972025"/>
    <w:rsid w:val="00973CBD"/>
    <w:rsid w:val="009752AF"/>
    <w:rsid w:val="00980589"/>
    <w:rsid w:val="0098213C"/>
    <w:rsid w:val="00987AF8"/>
    <w:rsid w:val="00994636"/>
    <w:rsid w:val="009A0260"/>
    <w:rsid w:val="009A4196"/>
    <w:rsid w:val="009A562E"/>
    <w:rsid w:val="009A5A50"/>
    <w:rsid w:val="009A6420"/>
    <w:rsid w:val="009A794D"/>
    <w:rsid w:val="009B25B4"/>
    <w:rsid w:val="009D201E"/>
    <w:rsid w:val="009E3E4D"/>
    <w:rsid w:val="009E6703"/>
    <w:rsid w:val="00A01AFC"/>
    <w:rsid w:val="00A13835"/>
    <w:rsid w:val="00A26B69"/>
    <w:rsid w:val="00A33ACB"/>
    <w:rsid w:val="00A40F1E"/>
    <w:rsid w:val="00A52396"/>
    <w:rsid w:val="00A5702C"/>
    <w:rsid w:val="00A61328"/>
    <w:rsid w:val="00A67110"/>
    <w:rsid w:val="00A72147"/>
    <w:rsid w:val="00A767F1"/>
    <w:rsid w:val="00A94B63"/>
    <w:rsid w:val="00AA6C0D"/>
    <w:rsid w:val="00AB0D99"/>
    <w:rsid w:val="00AC0E9E"/>
    <w:rsid w:val="00AC1E35"/>
    <w:rsid w:val="00AC2C29"/>
    <w:rsid w:val="00AC3F7B"/>
    <w:rsid w:val="00AC7E7E"/>
    <w:rsid w:val="00AE6925"/>
    <w:rsid w:val="00AF4BF1"/>
    <w:rsid w:val="00AF6ED0"/>
    <w:rsid w:val="00B0098F"/>
    <w:rsid w:val="00B02099"/>
    <w:rsid w:val="00B02E2F"/>
    <w:rsid w:val="00B067CF"/>
    <w:rsid w:val="00B1084D"/>
    <w:rsid w:val="00B36A93"/>
    <w:rsid w:val="00B43784"/>
    <w:rsid w:val="00B548D6"/>
    <w:rsid w:val="00B54C7D"/>
    <w:rsid w:val="00B629C7"/>
    <w:rsid w:val="00B83A06"/>
    <w:rsid w:val="00B95579"/>
    <w:rsid w:val="00B95CDE"/>
    <w:rsid w:val="00B96D8C"/>
    <w:rsid w:val="00BA245F"/>
    <w:rsid w:val="00BA26B7"/>
    <w:rsid w:val="00BA71BE"/>
    <w:rsid w:val="00BA7A14"/>
    <w:rsid w:val="00BB0E4B"/>
    <w:rsid w:val="00BB46DF"/>
    <w:rsid w:val="00BB759B"/>
    <w:rsid w:val="00BB7A2B"/>
    <w:rsid w:val="00BC126C"/>
    <w:rsid w:val="00BD6119"/>
    <w:rsid w:val="00BD76F6"/>
    <w:rsid w:val="00BE5F77"/>
    <w:rsid w:val="00BE720E"/>
    <w:rsid w:val="00BF0185"/>
    <w:rsid w:val="00BF1466"/>
    <w:rsid w:val="00BF240C"/>
    <w:rsid w:val="00BF5B1C"/>
    <w:rsid w:val="00C03B4B"/>
    <w:rsid w:val="00C100FC"/>
    <w:rsid w:val="00C17B6E"/>
    <w:rsid w:val="00C230D4"/>
    <w:rsid w:val="00C23C4C"/>
    <w:rsid w:val="00C255EB"/>
    <w:rsid w:val="00C32885"/>
    <w:rsid w:val="00C57E9E"/>
    <w:rsid w:val="00C60B40"/>
    <w:rsid w:val="00C60CBA"/>
    <w:rsid w:val="00C830EE"/>
    <w:rsid w:val="00C93824"/>
    <w:rsid w:val="00CA706F"/>
    <w:rsid w:val="00CC1795"/>
    <w:rsid w:val="00CE55B8"/>
    <w:rsid w:val="00CE68F7"/>
    <w:rsid w:val="00CF6BEF"/>
    <w:rsid w:val="00D121C7"/>
    <w:rsid w:val="00D26355"/>
    <w:rsid w:val="00D37773"/>
    <w:rsid w:val="00D5374E"/>
    <w:rsid w:val="00D55D18"/>
    <w:rsid w:val="00D73475"/>
    <w:rsid w:val="00D76273"/>
    <w:rsid w:val="00D8516D"/>
    <w:rsid w:val="00D90BE6"/>
    <w:rsid w:val="00D94716"/>
    <w:rsid w:val="00D95FA4"/>
    <w:rsid w:val="00DA7FBB"/>
    <w:rsid w:val="00DB07D8"/>
    <w:rsid w:val="00DB11B6"/>
    <w:rsid w:val="00DB3E06"/>
    <w:rsid w:val="00DC5A12"/>
    <w:rsid w:val="00DC6F9E"/>
    <w:rsid w:val="00DD5A6E"/>
    <w:rsid w:val="00DD6DCC"/>
    <w:rsid w:val="00DE0E75"/>
    <w:rsid w:val="00DE1B5E"/>
    <w:rsid w:val="00DE58EA"/>
    <w:rsid w:val="00DF3B2B"/>
    <w:rsid w:val="00DF4ACC"/>
    <w:rsid w:val="00E137A7"/>
    <w:rsid w:val="00E13A0E"/>
    <w:rsid w:val="00E16E8D"/>
    <w:rsid w:val="00E34E96"/>
    <w:rsid w:val="00E45ACA"/>
    <w:rsid w:val="00E51118"/>
    <w:rsid w:val="00E654A3"/>
    <w:rsid w:val="00E65991"/>
    <w:rsid w:val="00E6745A"/>
    <w:rsid w:val="00E838C7"/>
    <w:rsid w:val="00E85DED"/>
    <w:rsid w:val="00E94787"/>
    <w:rsid w:val="00E97D95"/>
    <w:rsid w:val="00EA599F"/>
    <w:rsid w:val="00EB0006"/>
    <w:rsid w:val="00EB248F"/>
    <w:rsid w:val="00EB6ED8"/>
    <w:rsid w:val="00EC53BE"/>
    <w:rsid w:val="00ED1A4E"/>
    <w:rsid w:val="00F00781"/>
    <w:rsid w:val="00F012A7"/>
    <w:rsid w:val="00F05A6D"/>
    <w:rsid w:val="00F11EF1"/>
    <w:rsid w:val="00F23D67"/>
    <w:rsid w:val="00F25FBA"/>
    <w:rsid w:val="00F27B4A"/>
    <w:rsid w:val="00F30C56"/>
    <w:rsid w:val="00F358D8"/>
    <w:rsid w:val="00F447FB"/>
    <w:rsid w:val="00F45677"/>
    <w:rsid w:val="00F54C26"/>
    <w:rsid w:val="00F624F8"/>
    <w:rsid w:val="00F6386A"/>
    <w:rsid w:val="00F64846"/>
    <w:rsid w:val="00F66F28"/>
    <w:rsid w:val="00F72EA0"/>
    <w:rsid w:val="00F8619A"/>
    <w:rsid w:val="00FA41D2"/>
    <w:rsid w:val="00FB519E"/>
    <w:rsid w:val="00FC6AB9"/>
    <w:rsid w:val="00FD16D1"/>
    <w:rsid w:val="00FD324F"/>
    <w:rsid w:val="00FD3743"/>
    <w:rsid w:val="00FE354E"/>
    <w:rsid w:val="00FE48D4"/>
    <w:rsid w:val="00FF6D91"/>
    <w:rsid w:val="00FF7497"/>
    <w:rsid w:val="012B667A"/>
    <w:rsid w:val="01B14C06"/>
    <w:rsid w:val="02134B91"/>
    <w:rsid w:val="02AC0BA7"/>
    <w:rsid w:val="02D45050"/>
    <w:rsid w:val="03687265"/>
    <w:rsid w:val="03C93874"/>
    <w:rsid w:val="05481BDC"/>
    <w:rsid w:val="065D710A"/>
    <w:rsid w:val="06C4362D"/>
    <w:rsid w:val="08AC6809"/>
    <w:rsid w:val="08BF2725"/>
    <w:rsid w:val="08ED4DD6"/>
    <w:rsid w:val="091F4E44"/>
    <w:rsid w:val="0AF93F5B"/>
    <w:rsid w:val="0B143EFA"/>
    <w:rsid w:val="0C4C22C2"/>
    <w:rsid w:val="0DB803C1"/>
    <w:rsid w:val="0DEE3160"/>
    <w:rsid w:val="0DFB735B"/>
    <w:rsid w:val="0EAC66EA"/>
    <w:rsid w:val="0F7C3A1C"/>
    <w:rsid w:val="0FD401C3"/>
    <w:rsid w:val="0FF27B88"/>
    <w:rsid w:val="10AB29C3"/>
    <w:rsid w:val="115F467E"/>
    <w:rsid w:val="12472B2E"/>
    <w:rsid w:val="13213A57"/>
    <w:rsid w:val="13B54A2A"/>
    <w:rsid w:val="13F47F01"/>
    <w:rsid w:val="14213B1B"/>
    <w:rsid w:val="14471BB2"/>
    <w:rsid w:val="145D7556"/>
    <w:rsid w:val="14A1209D"/>
    <w:rsid w:val="164E1AE9"/>
    <w:rsid w:val="18DA28CF"/>
    <w:rsid w:val="192808C1"/>
    <w:rsid w:val="19A9477A"/>
    <w:rsid w:val="1ACA5BEB"/>
    <w:rsid w:val="1B3F3EC5"/>
    <w:rsid w:val="1B6E2040"/>
    <w:rsid w:val="1C274290"/>
    <w:rsid w:val="1CA60DA2"/>
    <w:rsid w:val="1D570782"/>
    <w:rsid w:val="1F871252"/>
    <w:rsid w:val="1FE55427"/>
    <w:rsid w:val="205A6A97"/>
    <w:rsid w:val="209674D0"/>
    <w:rsid w:val="2120725A"/>
    <w:rsid w:val="212418B5"/>
    <w:rsid w:val="21857CF1"/>
    <w:rsid w:val="21896D82"/>
    <w:rsid w:val="21F35E39"/>
    <w:rsid w:val="227A1963"/>
    <w:rsid w:val="235E4AAF"/>
    <w:rsid w:val="23712341"/>
    <w:rsid w:val="24B25502"/>
    <w:rsid w:val="255827EA"/>
    <w:rsid w:val="255B06C8"/>
    <w:rsid w:val="25F42947"/>
    <w:rsid w:val="26355024"/>
    <w:rsid w:val="289B765D"/>
    <w:rsid w:val="28CF7617"/>
    <w:rsid w:val="28DD7A4C"/>
    <w:rsid w:val="2A56026C"/>
    <w:rsid w:val="2BCD2254"/>
    <w:rsid w:val="2D2D64A6"/>
    <w:rsid w:val="2E131159"/>
    <w:rsid w:val="2ED95618"/>
    <w:rsid w:val="2EDC4E95"/>
    <w:rsid w:val="2F867963"/>
    <w:rsid w:val="30600211"/>
    <w:rsid w:val="30846ACA"/>
    <w:rsid w:val="30AC28B9"/>
    <w:rsid w:val="32176488"/>
    <w:rsid w:val="32F436DB"/>
    <w:rsid w:val="336D1431"/>
    <w:rsid w:val="3457002A"/>
    <w:rsid w:val="345F6CD7"/>
    <w:rsid w:val="349B2600"/>
    <w:rsid w:val="362A675A"/>
    <w:rsid w:val="3790083E"/>
    <w:rsid w:val="37B17026"/>
    <w:rsid w:val="37CD057B"/>
    <w:rsid w:val="37D27E1C"/>
    <w:rsid w:val="37FF59C4"/>
    <w:rsid w:val="38331E91"/>
    <w:rsid w:val="388F3722"/>
    <w:rsid w:val="39F035C8"/>
    <w:rsid w:val="3A7156E7"/>
    <w:rsid w:val="3A8F7F5A"/>
    <w:rsid w:val="3BB27864"/>
    <w:rsid w:val="3C8E1107"/>
    <w:rsid w:val="3CA9008B"/>
    <w:rsid w:val="3CBA44C3"/>
    <w:rsid w:val="3D4C5207"/>
    <w:rsid w:val="3D514152"/>
    <w:rsid w:val="3E1028FF"/>
    <w:rsid w:val="3EB10E70"/>
    <w:rsid w:val="3FBC5351"/>
    <w:rsid w:val="41756B51"/>
    <w:rsid w:val="41AD6217"/>
    <w:rsid w:val="422A286F"/>
    <w:rsid w:val="43B45295"/>
    <w:rsid w:val="447C7CF7"/>
    <w:rsid w:val="48884BC0"/>
    <w:rsid w:val="4B555285"/>
    <w:rsid w:val="4B7B5626"/>
    <w:rsid w:val="4CEF786B"/>
    <w:rsid w:val="4DD0239E"/>
    <w:rsid w:val="4DED2833"/>
    <w:rsid w:val="4EC310A1"/>
    <w:rsid w:val="4EED4234"/>
    <w:rsid w:val="502E69EF"/>
    <w:rsid w:val="50423FB3"/>
    <w:rsid w:val="50581898"/>
    <w:rsid w:val="5070162B"/>
    <w:rsid w:val="50A578B1"/>
    <w:rsid w:val="50E16CEC"/>
    <w:rsid w:val="51587AE4"/>
    <w:rsid w:val="52524C16"/>
    <w:rsid w:val="531A26F9"/>
    <w:rsid w:val="53C64DE0"/>
    <w:rsid w:val="53D33B35"/>
    <w:rsid w:val="5426635A"/>
    <w:rsid w:val="545D2F13"/>
    <w:rsid w:val="550B0FD4"/>
    <w:rsid w:val="568140A3"/>
    <w:rsid w:val="596B15AE"/>
    <w:rsid w:val="5B087E49"/>
    <w:rsid w:val="5B6B41D3"/>
    <w:rsid w:val="5B765E19"/>
    <w:rsid w:val="5C82245E"/>
    <w:rsid w:val="5CA30FAC"/>
    <w:rsid w:val="5DC32E6C"/>
    <w:rsid w:val="5E2356B9"/>
    <w:rsid w:val="5E6A40BC"/>
    <w:rsid w:val="5E7E5C04"/>
    <w:rsid w:val="5EA467FA"/>
    <w:rsid w:val="5F1D080A"/>
    <w:rsid w:val="5F4639CE"/>
    <w:rsid w:val="5FF30297"/>
    <w:rsid w:val="5FF30731"/>
    <w:rsid w:val="601539A1"/>
    <w:rsid w:val="615F6687"/>
    <w:rsid w:val="62FA0D02"/>
    <w:rsid w:val="64336333"/>
    <w:rsid w:val="64AF5EF8"/>
    <w:rsid w:val="650B6EFB"/>
    <w:rsid w:val="662B6035"/>
    <w:rsid w:val="67EB2484"/>
    <w:rsid w:val="684E1303"/>
    <w:rsid w:val="68925632"/>
    <w:rsid w:val="69270470"/>
    <w:rsid w:val="69AB44C5"/>
    <w:rsid w:val="69BD5DC7"/>
    <w:rsid w:val="6C2562EF"/>
    <w:rsid w:val="6C692E30"/>
    <w:rsid w:val="6DD70473"/>
    <w:rsid w:val="6E9A12BD"/>
    <w:rsid w:val="6EDF737E"/>
    <w:rsid w:val="6EF47329"/>
    <w:rsid w:val="6FD87AAC"/>
    <w:rsid w:val="701B427C"/>
    <w:rsid w:val="70C556C6"/>
    <w:rsid w:val="710C7361"/>
    <w:rsid w:val="73AE2968"/>
    <w:rsid w:val="752B3379"/>
    <w:rsid w:val="75385A96"/>
    <w:rsid w:val="75551C5F"/>
    <w:rsid w:val="75D96FE6"/>
    <w:rsid w:val="76861D81"/>
    <w:rsid w:val="77A776C6"/>
    <w:rsid w:val="786338FD"/>
    <w:rsid w:val="786B37E9"/>
    <w:rsid w:val="78882890"/>
    <w:rsid w:val="788E3FD1"/>
    <w:rsid w:val="7AE860A5"/>
    <w:rsid w:val="7C6F6241"/>
    <w:rsid w:val="7CE16A82"/>
    <w:rsid w:val="7CF71C1B"/>
    <w:rsid w:val="7DFA3531"/>
    <w:rsid w:val="7E067A7E"/>
    <w:rsid w:val="7EBF256B"/>
    <w:rsid w:val="7EF0083A"/>
    <w:rsid w:val="7F500AB2"/>
    <w:rsid w:val="BBDA374A"/>
    <w:rsid w:val="F7FA076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0"/>
    <w:pPr>
      <w:keepNext/>
      <w:keepLines/>
      <w:pageBreakBefore/>
      <w:spacing w:before="340" w:after="330" w:line="578" w:lineRule="auto"/>
      <w:jc w:val="center"/>
      <w:outlineLvl w:val="0"/>
    </w:pPr>
    <w:rPr>
      <w:rFonts w:ascii="Calibri" w:hAnsi="Calibri" w:eastAsia="仿宋_GB2312" w:cs="Times New Roman"/>
      <w:b/>
      <w:bCs/>
      <w:kern w:val="44"/>
      <w:sz w:val="44"/>
      <w:szCs w:val="44"/>
    </w:rPr>
  </w:style>
  <w:style w:type="paragraph" w:styleId="3">
    <w:name w:val="heading 2"/>
    <w:basedOn w:val="1"/>
    <w:next w:val="1"/>
    <w:link w:val="24"/>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29"/>
    <w:qFormat/>
    <w:uiPriority w:val="0"/>
    <w:pPr>
      <w:keepNext/>
      <w:keepLines/>
      <w:spacing w:before="260" w:after="260" w:line="416" w:lineRule="auto"/>
      <w:outlineLvl w:val="2"/>
    </w:pPr>
    <w:rPr>
      <w:rFonts w:ascii="Calibri" w:hAnsi="Calibri" w:eastAsia="仿宋_GB2312" w:cs="Times New Roman"/>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0"/>
    <w:pPr>
      <w:ind w:firstLine="6290" w:firstLineChars="2282"/>
    </w:pPr>
    <w:rPr>
      <w:rFonts w:ascii="Times New Roman" w:hAnsi="Times New Roman" w:eastAsia="宋体" w:cs="Times New Roman"/>
      <w:b/>
      <w:bCs/>
      <w:color w:val="000080"/>
      <w:sz w:val="28"/>
      <w:szCs w:val="24"/>
    </w:rPr>
  </w:style>
  <w:style w:type="paragraph" w:styleId="6">
    <w:name w:val="annotation text"/>
    <w:basedOn w:val="1"/>
    <w:link w:val="38"/>
    <w:semiHidden/>
    <w:unhideWhenUsed/>
    <w:qFormat/>
    <w:uiPriority w:val="99"/>
    <w:pPr>
      <w:jc w:val="left"/>
    </w:pPr>
  </w:style>
  <w:style w:type="paragraph" w:styleId="7">
    <w:name w:val="Body Text"/>
    <w:basedOn w:val="1"/>
    <w:link w:val="34"/>
    <w:semiHidden/>
    <w:unhideWhenUsed/>
    <w:qFormat/>
    <w:uiPriority w:val="99"/>
    <w:pPr>
      <w:spacing w:after="120"/>
    </w:pPr>
  </w:style>
  <w:style w:type="paragraph" w:styleId="8">
    <w:name w:val="Body Text Indent"/>
    <w:basedOn w:val="1"/>
    <w:link w:val="31"/>
    <w:qFormat/>
    <w:uiPriority w:val="0"/>
    <w:pPr>
      <w:spacing w:after="120"/>
      <w:ind w:left="420" w:leftChars="200"/>
    </w:pPr>
    <w:rPr>
      <w:rFonts w:eastAsia="宋体"/>
      <w:szCs w:val="24"/>
    </w:rPr>
  </w:style>
  <w:style w:type="paragraph" w:styleId="9">
    <w:name w:val="Plain Text"/>
    <w:basedOn w:val="1"/>
    <w:link w:val="30"/>
    <w:qFormat/>
    <w:uiPriority w:val="0"/>
    <w:pPr>
      <w:widowControl/>
      <w:overflowPunct w:val="0"/>
      <w:autoSpaceDE w:val="0"/>
      <w:autoSpaceDN w:val="0"/>
      <w:adjustRightInd w:val="0"/>
      <w:jc w:val="left"/>
      <w:textAlignment w:val="baseline"/>
    </w:pPr>
    <w:rPr>
      <w:rFonts w:ascii="宋体" w:hAnsi="Courier New" w:eastAsia="宋体"/>
    </w:rPr>
  </w:style>
  <w:style w:type="paragraph" w:styleId="10">
    <w:name w:val="Date"/>
    <w:basedOn w:val="1"/>
    <w:next w:val="1"/>
    <w:qFormat/>
    <w:uiPriority w:val="0"/>
    <w:rPr>
      <w:rFonts w:eastAsia="仿宋_GB2312"/>
      <w:sz w:val="28"/>
      <w:szCs w:val="20"/>
    </w:rPr>
  </w:style>
  <w:style w:type="paragraph" w:styleId="11">
    <w:name w:val="Balloon Text"/>
    <w:basedOn w:val="1"/>
    <w:link w:val="37"/>
    <w:semiHidden/>
    <w:unhideWhenUsed/>
    <w:qFormat/>
    <w:uiPriority w:val="99"/>
    <w:rPr>
      <w:sz w:val="18"/>
      <w:szCs w:val="18"/>
    </w:rPr>
  </w:style>
  <w:style w:type="paragraph" w:styleId="12">
    <w:name w:val="footer"/>
    <w:basedOn w:val="1"/>
    <w:link w:val="27"/>
    <w:unhideWhenUsed/>
    <w:qFormat/>
    <w:uiPriority w:val="0"/>
    <w:pPr>
      <w:tabs>
        <w:tab w:val="center" w:pos="4153"/>
        <w:tab w:val="right" w:pos="8306"/>
      </w:tabs>
      <w:snapToGrid w:val="0"/>
      <w:jc w:val="left"/>
    </w:pPr>
    <w:rPr>
      <w:sz w:val="18"/>
      <w:szCs w:val="18"/>
    </w:rPr>
  </w:style>
  <w:style w:type="paragraph" w:styleId="13">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rFonts w:eastAsia="Times New Roman"/>
      <w:sz w:val="16"/>
      <w:szCs w:val="16"/>
    </w:rPr>
  </w:style>
  <w:style w:type="paragraph" w:styleId="15">
    <w:name w:val="Normal (Web)"/>
    <w:basedOn w:val="1"/>
    <w:qFormat/>
    <w:uiPriority w:val="0"/>
    <w:pPr>
      <w:widowControl/>
      <w:spacing w:before="100" w:beforeAutospacing="1" w:after="100" w:afterAutospacing="1" w:line="283" w:lineRule="atLeast"/>
      <w:jc w:val="left"/>
    </w:pPr>
    <w:rPr>
      <w:rFonts w:ascii="宋体" w:hAnsi="宋体" w:eastAsia="宋体" w:cs="Times New Roman"/>
      <w:color w:val="000000"/>
      <w:kern w:val="0"/>
      <w:sz w:val="19"/>
      <w:szCs w:val="19"/>
    </w:rPr>
  </w:style>
  <w:style w:type="paragraph" w:styleId="16">
    <w:name w:val="annotation subject"/>
    <w:basedOn w:val="6"/>
    <w:next w:val="6"/>
    <w:link w:val="39"/>
    <w:semiHidden/>
    <w:unhideWhenUsed/>
    <w:qFormat/>
    <w:uiPriority w:val="99"/>
    <w:rPr>
      <w:b/>
      <w:bCs/>
    </w:rPr>
  </w:style>
  <w:style w:type="paragraph" w:styleId="17">
    <w:name w:val="Body Text First Indent"/>
    <w:basedOn w:val="7"/>
    <w:link w:val="35"/>
    <w:semiHidden/>
    <w:unhideWhenUsed/>
    <w:qFormat/>
    <w:uiPriority w:val="99"/>
    <w:pPr>
      <w:ind w:firstLine="420" w:firstLineChars="1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basedOn w:val="20"/>
    <w:semiHidden/>
    <w:unhideWhenUsed/>
    <w:qFormat/>
    <w:uiPriority w:val="99"/>
    <w:rPr>
      <w:color w:val="0000FF"/>
      <w:u w:val="single"/>
    </w:rPr>
  </w:style>
  <w:style w:type="character" w:styleId="23">
    <w:name w:val="annotation reference"/>
    <w:basedOn w:val="20"/>
    <w:semiHidden/>
    <w:unhideWhenUsed/>
    <w:qFormat/>
    <w:uiPriority w:val="99"/>
    <w:rPr>
      <w:sz w:val="21"/>
      <w:szCs w:val="21"/>
    </w:rPr>
  </w:style>
  <w:style w:type="character" w:customStyle="1" w:styleId="24">
    <w:name w:val="标题 2 Char"/>
    <w:basedOn w:val="20"/>
    <w:link w:val="3"/>
    <w:qFormat/>
    <w:uiPriority w:val="0"/>
    <w:rPr>
      <w:rFonts w:ascii="Arial" w:hAnsi="Arial" w:eastAsia="黑体" w:cs="Times New Roman"/>
      <w:b/>
      <w:bCs/>
      <w:sz w:val="32"/>
      <w:szCs w:val="32"/>
    </w:rPr>
  </w:style>
  <w:style w:type="character" w:customStyle="1" w:styleId="25">
    <w:name w:val="apple-converted-space"/>
    <w:basedOn w:val="20"/>
    <w:qFormat/>
    <w:uiPriority w:val="0"/>
  </w:style>
  <w:style w:type="character" w:customStyle="1" w:styleId="26">
    <w:name w:val="页眉 Char"/>
    <w:basedOn w:val="20"/>
    <w:link w:val="13"/>
    <w:qFormat/>
    <w:uiPriority w:val="99"/>
    <w:rPr>
      <w:sz w:val="18"/>
      <w:szCs w:val="18"/>
    </w:rPr>
  </w:style>
  <w:style w:type="character" w:customStyle="1" w:styleId="27">
    <w:name w:val="页脚 Char"/>
    <w:basedOn w:val="20"/>
    <w:link w:val="12"/>
    <w:qFormat/>
    <w:uiPriority w:val="99"/>
    <w:rPr>
      <w:sz w:val="18"/>
      <w:szCs w:val="18"/>
    </w:rPr>
  </w:style>
  <w:style w:type="character" w:customStyle="1" w:styleId="28">
    <w:name w:val="标题 1 Char"/>
    <w:basedOn w:val="20"/>
    <w:link w:val="2"/>
    <w:qFormat/>
    <w:uiPriority w:val="0"/>
    <w:rPr>
      <w:rFonts w:ascii="Calibri" w:hAnsi="Calibri" w:eastAsia="仿宋_GB2312" w:cs="Times New Roman"/>
      <w:b/>
      <w:bCs/>
      <w:kern w:val="44"/>
      <w:sz w:val="44"/>
      <w:szCs w:val="44"/>
    </w:rPr>
  </w:style>
  <w:style w:type="character" w:customStyle="1" w:styleId="29">
    <w:name w:val="标题 3 Char"/>
    <w:basedOn w:val="20"/>
    <w:link w:val="4"/>
    <w:qFormat/>
    <w:uiPriority w:val="0"/>
    <w:rPr>
      <w:rFonts w:ascii="Calibri" w:hAnsi="Calibri" w:eastAsia="仿宋_GB2312" w:cs="Times New Roman"/>
      <w:b/>
      <w:bCs/>
      <w:sz w:val="32"/>
      <w:szCs w:val="32"/>
    </w:rPr>
  </w:style>
  <w:style w:type="character" w:customStyle="1" w:styleId="30">
    <w:name w:val="纯文本 Char1"/>
    <w:link w:val="9"/>
    <w:qFormat/>
    <w:uiPriority w:val="0"/>
    <w:rPr>
      <w:rFonts w:ascii="宋体" w:hAnsi="Courier New" w:eastAsia="宋体"/>
    </w:rPr>
  </w:style>
  <w:style w:type="character" w:customStyle="1" w:styleId="31">
    <w:name w:val="正文文本缩进 Char"/>
    <w:link w:val="8"/>
    <w:qFormat/>
    <w:uiPriority w:val="0"/>
    <w:rPr>
      <w:rFonts w:eastAsia="宋体"/>
      <w:szCs w:val="24"/>
    </w:rPr>
  </w:style>
  <w:style w:type="character" w:customStyle="1" w:styleId="32">
    <w:name w:val="正文文本缩进 Char1"/>
    <w:basedOn w:val="20"/>
    <w:semiHidden/>
    <w:qFormat/>
    <w:uiPriority w:val="99"/>
  </w:style>
  <w:style w:type="character" w:customStyle="1" w:styleId="33">
    <w:name w:val="纯文本 Char"/>
    <w:basedOn w:val="20"/>
    <w:semiHidden/>
    <w:qFormat/>
    <w:uiPriority w:val="99"/>
    <w:rPr>
      <w:rFonts w:ascii="宋体" w:hAnsi="Courier New" w:eastAsia="宋体" w:cs="Courier New"/>
      <w:szCs w:val="21"/>
    </w:rPr>
  </w:style>
  <w:style w:type="character" w:customStyle="1" w:styleId="34">
    <w:name w:val="正文文本 Char"/>
    <w:basedOn w:val="20"/>
    <w:link w:val="7"/>
    <w:semiHidden/>
    <w:qFormat/>
    <w:uiPriority w:val="99"/>
  </w:style>
  <w:style w:type="character" w:customStyle="1" w:styleId="35">
    <w:name w:val="正文首行缩进 Char"/>
    <w:basedOn w:val="34"/>
    <w:link w:val="17"/>
    <w:semiHidden/>
    <w:qFormat/>
    <w:uiPriority w:val="99"/>
  </w:style>
  <w:style w:type="paragraph" w:styleId="36">
    <w:name w:val="List Paragraph"/>
    <w:basedOn w:val="1"/>
    <w:qFormat/>
    <w:uiPriority w:val="34"/>
    <w:pPr>
      <w:ind w:firstLine="420" w:firstLineChars="200"/>
    </w:pPr>
  </w:style>
  <w:style w:type="character" w:customStyle="1" w:styleId="37">
    <w:name w:val="批注框文本 Char"/>
    <w:basedOn w:val="20"/>
    <w:link w:val="11"/>
    <w:semiHidden/>
    <w:qFormat/>
    <w:uiPriority w:val="99"/>
    <w:rPr>
      <w:rFonts w:asciiTheme="minorHAnsi" w:hAnsiTheme="minorHAnsi" w:eastAsiaTheme="minorEastAsia" w:cstheme="minorBidi"/>
      <w:kern w:val="2"/>
      <w:sz w:val="18"/>
      <w:szCs w:val="18"/>
    </w:rPr>
  </w:style>
  <w:style w:type="character" w:customStyle="1" w:styleId="38">
    <w:name w:val="批注文字 Char"/>
    <w:basedOn w:val="20"/>
    <w:link w:val="6"/>
    <w:semiHidden/>
    <w:qFormat/>
    <w:uiPriority w:val="99"/>
    <w:rPr>
      <w:rFonts w:asciiTheme="minorHAnsi" w:hAnsiTheme="minorHAnsi" w:eastAsiaTheme="minorEastAsia" w:cstheme="minorBidi"/>
      <w:kern w:val="2"/>
      <w:sz w:val="21"/>
      <w:szCs w:val="22"/>
    </w:rPr>
  </w:style>
  <w:style w:type="character" w:customStyle="1" w:styleId="39">
    <w:name w:val="批注主题 Char"/>
    <w:basedOn w:val="38"/>
    <w:link w:val="16"/>
    <w:semiHidden/>
    <w:qFormat/>
    <w:uiPriority w:val="99"/>
    <w:rPr>
      <w:rFonts w:asciiTheme="minorHAnsi" w:hAnsiTheme="minorHAnsi" w:eastAsiaTheme="minorEastAsia" w:cstheme="minorBidi"/>
      <w:b/>
      <w:bCs/>
      <w:kern w:val="2"/>
      <w:sz w:val="21"/>
      <w:szCs w:val="22"/>
    </w:rPr>
  </w:style>
  <w:style w:type="paragraph" w:customStyle="1" w:styleId="40">
    <w:name w:val="正文2"/>
    <w:basedOn w:val="1"/>
    <w:qFormat/>
    <w:uiPriority w:val="0"/>
    <w:pPr>
      <w:spacing w:before="156" w:line="360" w:lineRule="auto"/>
      <w:ind w:firstLine="510" w:firstLineChars="200"/>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18</Pages>
  <Words>11678</Words>
  <Characters>12949</Characters>
  <Lines>143</Lines>
  <Paragraphs>40</Paragraphs>
  <TotalTime>0</TotalTime>
  <ScaleCrop>false</ScaleCrop>
  <LinksUpToDate>false</LinksUpToDate>
  <CharactersWithSpaces>13749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2021-06-10T23:57:00Z</dcterms:created>
  <dc:creator>youpansheng</dc:creator>
  <cp:lastModifiedBy>远山</cp:lastModifiedBy>
  <dcterms:modified xsi:type="dcterms:W3CDTF">2022-05-05T03:24:19Z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548CFAB344BB4653A166774C965F5187</vt:lpwstr>
  </property>
  <property fmtid="{D5CDD505-2E9C-101B-9397-08002B2CF9AE}" pid="4" name="commondata">
    <vt:lpwstr>eyJoZGlkIjoiOGYzZWZkM2ViMzk0MDU5MTAyYTdkY2I5NGQ0MDUwNGEifQ==</vt:lpwstr>
  </property>
</Properties>
</file>